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7" w:rsidRPr="00341E87" w:rsidRDefault="00E04E5C" w:rsidP="00341E87">
      <w:pPr>
        <w:tabs>
          <w:tab w:val="left" w:pos="4253"/>
        </w:tabs>
        <w:jc w:val="center"/>
        <w:rPr>
          <w:b/>
        </w:rPr>
      </w:pPr>
      <w:r w:rsidRPr="00341E87">
        <w:rPr>
          <w:b/>
          <w:bCs/>
        </w:rPr>
        <w:t>Сообщение</w:t>
      </w:r>
      <w:r w:rsidR="007F27FC" w:rsidRPr="00341E87">
        <w:rPr>
          <w:b/>
          <w:bCs/>
        </w:rPr>
        <w:t xml:space="preserve"> </w:t>
      </w:r>
      <w:r w:rsidR="00341E87" w:rsidRPr="00341E87">
        <w:rPr>
          <w:b/>
        </w:rPr>
        <w:t xml:space="preserve">о существенном факте </w:t>
      </w:r>
    </w:p>
    <w:p w:rsidR="00341E87" w:rsidRPr="00341E87" w:rsidRDefault="00341E87" w:rsidP="00341E87">
      <w:pPr>
        <w:tabs>
          <w:tab w:val="left" w:pos="4253"/>
        </w:tabs>
        <w:jc w:val="center"/>
        <w:rPr>
          <w:b/>
        </w:rPr>
      </w:pPr>
      <w:r w:rsidRPr="00341E87">
        <w:rPr>
          <w:b/>
        </w:rPr>
        <w:t>«О переоформлении  действия разрешения (лицензии) эмитента на осуществление определённой деятельности, имеющей для эмитента существенное финансово-хозяйственное значение»</w:t>
      </w:r>
    </w:p>
    <w:p w:rsidR="00341E87" w:rsidRPr="00341E87" w:rsidRDefault="00341E87" w:rsidP="006C7E95">
      <w:pPr>
        <w:jc w:val="center"/>
        <w:rPr>
          <w:bCs/>
        </w:rPr>
      </w:pPr>
    </w:p>
    <w:p w:rsidR="00506717" w:rsidRPr="00C84D40" w:rsidRDefault="00506717" w:rsidP="00140DEB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04E5C" w:rsidRPr="00C84D40" w:rsidTr="00140DEB">
        <w:trPr>
          <w:cantSplit/>
        </w:trPr>
        <w:tc>
          <w:tcPr>
            <w:tcW w:w="9979" w:type="dxa"/>
            <w:gridSpan w:val="2"/>
          </w:tcPr>
          <w:p w:rsidR="00E04E5C" w:rsidRPr="00C84D40" w:rsidRDefault="00E04E5C">
            <w:pPr>
              <w:jc w:val="center"/>
            </w:pPr>
            <w:r w:rsidRPr="00C84D40">
              <w:t>1. Общие сведения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04E5C" w:rsidRPr="00C84D40" w:rsidRDefault="00A1411F" w:rsidP="00824C8A">
            <w:pPr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Публичн</w:t>
            </w:r>
            <w:r w:rsidR="00824C8A">
              <w:rPr>
                <w:b/>
                <w:i/>
              </w:rPr>
              <w:t>ое</w:t>
            </w:r>
            <w:r w:rsidR="00B736F7" w:rsidRPr="00C84D40">
              <w:rPr>
                <w:b/>
                <w:i/>
              </w:rPr>
              <w:t xml:space="preserve"> акционерное общество «Фармсинтез» </w:t>
            </w:r>
            <w:r w:rsidR="00B736F7"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04E5C" w:rsidRPr="00C84D40" w:rsidRDefault="00EC4E4A">
            <w:pPr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B736F7" w:rsidRPr="00C84D40">
              <w:rPr>
                <w:b/>
                <w:i/>
              </w:rPr>
              <w:t xml:space="preserve">АО «Фармсинтез» </w:t>
            </w:r>
            <w:r w:rsidR="00B736F7"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1.3. Место нахождения эмитента</w:t>
            </w:r>
          </w:p>
        </w:tc>
        <w:tc>
          <w:tcPr>
            <w:tcW w:w="5046" w:type="dxa"/>
          </w:tcPr>
          <w:p w:rsidR="00E04E5C" w:rsidRPr="00C84D40" w:rsidRDefault="00824C8A" w:rsidP="00824C8A">
            <w:pPr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B736F7" w:rsidRPr="00C84D40">
              <w:rPr>
                <w:b/>
                <w:i/>
              </w:rPr>
              <w:t>оссийская Федерация, Ленинградская область, Всеволожский район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1.4. ОГРН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1034700559189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1.5. ИНН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7801075160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09669-J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0083E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http://www.pharmsynthez.com/,</w:t>
            </w:r>
          </w:p>
          <w:p w:rsidR="00E04E5C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 http://www.e-disclosure.ru/portal/company.aspx?id=4378</w:t>
            </w:r>
          </w:p>
        </w:tc>
      </w:tr>
    </w:tbl>
    <w:p w:rsidR="00E04E5C" w:rsidRDefault="00E04E5C"/>
    <w:p w:rsidR="004E3911" w:rsidRPr="00C84D40" w:rsidRDefault="004E3911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BA6C18" w:rsidRPr="00C84D40" w:rsidTr="000553C5">
        <w:trPr>
          <w:trHeight w:val="255"/>
        </w:trPr>
        <w:tc>
          <w:tcPr>
            <w:tcW w:w="10234" w:type="dxa"/>
          </w:tcPr>
          <w:p w:rsidR="00BA6C18" w:rsidRPr="00C84D40" w:rsidRDefault="00BA6C18" w:rsidP="00BA6C18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E04E5C" w:rsidRPr="000553C5" w:rsidTr="000553C5">
        <w:trPr>
          <w:trHeight w:val="1266"/>
        </w:trPr>
        <w:tc>
          <w:tcPr>
            <w:tcW w:w="10234" w:type="dxa"/>
          </w:tcPr>
          <w:p w:rsidR="00341E87" w:rsidRPr="007B1C64" w:rsidRDefault="00341E87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 xml:space="preserve">Сведения о  получении, приостановлении действия, возобновлении действия (продлении действия), переоформлении, об отзыве (аннулировании) или о прекращении по иным основаниям действия разрешения (лицензии) эмитента на осуществление </w:t>
            </w:r>
            <w:r w:rsidR="008A6DAD" w:rsidRPr="007B1C64">
              <w:rPr>
                <w:b w:val="0"/>
              </w:rPr>
              <w:t>определённой</w:t>
            </w:r>
            <w:r w:rsidRPr="007B1C64">
              <w:rPr>
                <w:b w:val="0"/>
              </w:rPr>
              <w:t xml:space="preserve"> деятельности, имеющей для эмитента существенное финансово-хозяйственное значение</w:t>
            </w:r>
          </w:p>
          <w:p w:rsidR="00341E87" w:rsidRPr="007B1C64" w:rsidRDefault="00341E87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>2.1. вид разрешения (лицензии) эмитента: лицензи</w:t>
            </w:r>
            <w:r w:rsidR="00D41372">
              <w:rPr>
                <w:b w:val="0"/>
              </w:rPr>
              <w:t>я</w:t>
            </w:r>
            <w:r w:rsidRPr="007B1C64">
              <w:rPr>
                <w:b w:val="0"/>
              </w:rPr>
              <w:t xml:space="preserve"> на осуществление производства лекарственных средств</w:t>
            </w:r>
          </w:p>
          <w:p w:rsidR="00341E87" w:rsidRPr="007B1C64" w:rsidRDefault="00341E87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 xml:space="preserve">2.2. номер и дата выдачи разрешения (лицензии) эмитента: </w:t>
            </w:r>
            <w:r w:rsidR="00D050A3">
              <w:rPr>
                <w:b w:val="0"/>
              </w:rPr>
              <w:t>л</w:t>
            </w:r>
            <w:r w:rsidRPr="007B1C64">
              <w:rPr>
                <w:b w:val="0"/>
              </w:rPr>
              <w:t>ицензия № 00178-ЛС  от 18.02.2016 года</w:t>
            </w:r>
          </w:p>
          <w:p w:rsidR="00341E87" w:rsidRPr="007B1C64" w:rsidRDefault="00341E87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>2.3. орган, выдавший разрешение (лицензию): Министерство промышленности и торговли Российской Федерации;</w:t>
            </w:r>
          </w:p>
          <w:p w:rsidR="00341E87" w:rsidRPr="007B1C64" w:rsidRDefault="007A62B0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>2.4.</w:t>
            </w:r>
            <w:r w:rsidR="008A6DAD">
              <w:rPr>
                <w:b w:val="0"/>
              </w:rPr>
              <w:t xml:space="preserve"> </w:t>
            </w:r>
            <w:r w:rsidR="00341E87" w:rsidRPr="007B1C64">
              <w:rPr>
                <w:b w:val="0"/>
              </w:rPr>
              <w:t>срок действия разрешения (лицензии) эмитента</w:t>
            </w:r>
            <w:r w:rsidRPr="007B1C64">
              <w:rPr>
                <w:b w:val="0"/>
              </w:rPr>
              <w:t>: бессрочно</w:t>
            </w:r>
          </w:p>
          <w:p w:rsidR="00341E87" w:rsidRPr="007B1C64" w:rsidRDefault="007A62B0" w:rsidP="007B1C64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 xml:space="preserve">2.5. </w:t>
            </w:r>
            <w:r w:rsidR="00341E87" w:rsidRPr="007B1C64">
              <w:rPr>
                <w:b w:val="0"/>
              </w:rPr>
              <w:t>вид события, наступившего в отношении разрешения (лицензии) эмитента</w:t>
            </w:r>
            <w:r w:rsidRPr="007B1C64">
              <w:rPr>
                <w:b w:val="0"/>
              </w:rPr>
              <w:t xml:space="preserve">: </w:t>
            </w:r>
            <w:r w:rsidR="00341E87" w:rsidRPr="007B1C64">
              <w:rPr>
                <w:b w:val="0"/>
              </w:rPr>
              <w:t xml:space="preserve"> переоформление</w:t>
            </w:r>
          </w:p>
          <w:p w:rsidR="00C82C71" w:rsidRPr="007B1C64" w:rsidRDefault="00C82C71" w:rsidP="007B1C64">
            <w:pPr>
              <w:adjustRightInd w:val="0"/>
              <w:ind w:left="142" w:right="255"/>
              <w:jc w:val="both"/>
            </w:pPr>
            <w:r w:rsidRPr="007B1C64">
              <w:t xml:space="preserve">Основание переоформления: </w:t>
            </w:r>
            <w:r w:rsidRPr="007B1C64">
              <w:rPr>
                <w:bCs/>
                <w:iCs/>
              </w:rPr>
              <w:t xml:space="preserve">Переоформление лицензии связано с изменением полного фирменного наименования и сокращённого фирменного наименования эмитента </w:t>
            </w:r>
            <w:r w:rsidR="004638FF">
              <w:rPr>
                <w:bCs/>
                <w:iCs/>
              </w:rPr>
              <w:t xml:space="preserve">и </w:t>
            </w:r>
            <w:r w:rsidRPr="007B1C64">
              <w:rPr>
                <w:bCs/>
                <w:iCs/>
              </w:rPr>
              <w:t>с приведением их в соответствие с нормами главы 4 части первой Гражданского кодекса Российской Федерации (в редакции Федерального закона от 05.05.2014 года №99-ФЗ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      </w:r>
          </w:p>
          <w:p w:rsidR="00D41372" w:rsidRDefault="007A62B0" w:rsidP="00D41372">
            <w:pPr>
              <w:pStyle w:val="ConsPlusNormal"/>
              <w:ind w:left="142" w:right="255" w:firstLine="540"/>
              <w:jc w:val="both"/>
              <w:rPr>
                <w:b w:val="0"/>
              </w:rPr>
            </w:pPr>
            <w:r w:rsidRPr="007B1C64">
              <w:rPr>
                <w:b w:val="0"/>
              </w:rPr>
              <w:t xml:space="preserve">2.6. </w:t>
            </w:r>
            <w:r w:rsidR="00341E87" w:rsidRPr="007B1C64">
              <w:rPr>
                <w:b w:val="0"/>
              </w:rPr>
              <w:t>дата наступления соответствующего события в отношении разрешения (лицензии) эмитента</w:t>
            </w:r>
            <w:r w:rsidR="00791D7B">
              <w:rPr>
                <w:b w:val="0"/>
              </w:rPr>
              <w:t>:</w:t>
            </w:r>
            <w:r w:rsidR="008A6DAD">
              <w:rPr>
                <w:b w:val="0"/>
              </w:rPr>
              <w:t xml:space="preserve"> 1</w:t>
            </w:r>
            <w:r w:rsidR="00D41372">
              <w:rPr>
                <w:b w:val="0"/>
              </w:rPr>
              <w:t>8</w:t>
            </w:r>
            <w:r w:rsidR="008A6DAD">
              <w:rPr>
                <w:b w:val="0"/>
              </w:rPr>
              <w:t>.0</w:t>
            </w:r>
            <w:r w:rsidR="00D41372">
              <w:rPr>
                <w:b w:val="0"/>
              </w:rPr>
              <w:t>2</w:t>
            </w:r>
            <w:r w:rsidR="008A6DAD">
              <w:rPr>
                <w:b w:val="0"/>
              </w:rPr>
              <w:t>.2016 г.</w:t>
            </w:r>
          </w:p>
          <w:p w:rsidR="001102F9" w:rsidRPr="00AF36BB" w:rsidRDefault="00D41372" w:rsidP="004638FF">
            <w:pPr>
              <w:pStyle w:val="ConsPlusNormal"/>
              <w:ind w:left="142" w:right="255" w:firstLine="540"/>
              <w:jc w:val="both"/>
              <w:rPr>
                <w:b w:val="0"/>
                <w:i/>
              </w:rPr>
            </w:pPr>
            <w:r>
              <w:rPr>
                <w:b w:val="0"/>
              </w:rPr>
              <w:t>2.7. дата, в которую эмитент узнал о наступлении указанного события: 17.03.201</w:t>
            </w:r>
            <w:r w:rsidR="004638FF">
              <w:rPr>
                <w:b w:val="0"/>
              </w:rPr>
              <w:t>6</w:t>
            </w:r>
            <w:r>
              <w:rPr>
                <w:b w:val="0"/>
              </w:rPr>
              <w:t xml:space="preserve"> г. </w:t>
            </w:r>
            <w:r w:rsidR="008A6DAD" w:rsidRPr="00AF36BB">
              <w:rPr>
                <w:b w:val="0"/>
                <w:i/>
              </w:rPr>
              <w:t xml:space="preserve"> </w:t>
            </w:r>
          </w:p>
        </w:tc>
      </w:tr>
    </w:tbl>
    <w:p w:rsidR="00E04E5C" w:rsidRPr="000553C5" w:rsidRDefault="00E04E5C"/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368"/>
      </w:tblGrid>
      <w:tr w:rsidR="00E04E5C" w:rsidRPr="000553C5" w:rsidTr="00D054E5"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0553C5" w:rsidRDefault="00E04E5C">
            <w:pPr>
              <w:jc w:val="center"/>
            </w:pPr>
            <w:r w:rsidRPr="000553C5">
              <w:t>3. Подпись</w:t>
            </w:r>
          </w:p>
        </w:tc>
      </w:tr>
      <w:tr w:rsidR="00E04E5C" w:rsidRPr="000553C5" w:rsidTr="00D054E5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0553C5" w:rsidRDefault="00E04E5C">
            <w:pPr>
              <w:ind w:left="57"/>
            </w:pPr>
            <w:r w:rsidRPr="000553C5">
              <w:t>3.1. </w:t>
            </w:r>
            <w:r w:rsidR="00BE400A" w:rsidRPr="000553C5"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0553C5" w:rsidRDefault="00E04E5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8B042C">
            <w:pPr>
              <w:jc w:val="center"/>
            </w:pPr>
            <w:r w:rsidRPr="000553C5">
              <w:t>П.В. Кругляков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0553C5" w:rsidRDefault="00E04E5C"/>
        </w:tc>
      </w:tr>
      <w:tr w:rsidR="00E04E5C" w:rsidRPr="000553C5" w:rsidTr="00D054E5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5C" w:rsidRPr="000553C5" w:rsidRDefault="00E04E5C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0553C5" w:rsidRDefault="00E04E5C">
            <w:pPr>
              <w:jc w:val="center"/>
            </w:pPr>
            <w:r w:rsidRPr="000553C5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0553C5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0553C5" w:rsidRDefault="00E04E5C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5C" w:rsidRPr="000553C5" w:rsidRDefault="00E04E5C"/>
        </w:tc>
      </w:tr>
      <w:tr w:rsidR="00E04E5C" w:rsidRPr="00C84D40" w:rsidTr="00D054E5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0553C5" w:rsidRDefault="00E04E5C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E04E5C">
            <w:pPr>
              <w:jc w:val="right"/>
            </w:pPr>
            <w:r w:rsidRPr="000553C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0553C5" w:rsidRDefault="00695312" w:rsidP="008A6DAD">
            <w:pPr>
              <w:jc w:val="center"/>
            </w:pPr>
            <w:r>
              <w:t>1</w:t>
            </w:r>
            <w:r w:rsidR="008A6DAD"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E04E5C">
            <w:r w:rsidRPr="000553C5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0553C5" w:rsidRDefault="00695312" w:rsidP="00695312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E04E5C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0553C5" w:rsidRDefault="00BE400A" w:rsidP="00AC2228">
            <w:r w:rsidRPr="000553C5">
              <w:t>1</w:t>
            </w:r>
            <w:r w:rsidR="00AC2228"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0553C5" w:rsidRDefault="00E04E5C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center"/>
            </w:pPr>
            <w:r w:rsidRPr="000553C5"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 w:rsidTr="00D054E5">
        <w:tc>
          <w:tcPr>
            <w:tcW w:w="102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/>
        </w:tc>
      </w:tr>
    </w:tbl>
    <w:p w:rsidR="00E04E5C" w:rsidRDefault="00E04E5C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p w:rsidR="00D41372" w:rsidRDefault="00D41372" w:rsidP="00AF36BB"/>
    <w:sectPr w:rsidR="00D41372" w:rsidSect="00884EFF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55" w:rsidRDefault="00532B55">
      <w:r>
        <w:separator/>
      </w:r>
    </w:p>
  </w:endnote>
  <w:endnote w:type="continuationSeparator" w:id="1">
    <w:p w:rsidR="00532B55" w:rsidRDefault="0053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55" w:rsidRDefault="00532B55">
      <w:r>
        <w:separator/>
      </w:r>
    </w:p>
  </w:footnote>
  <w:footnote w:type="continuationSeparator" w:id="1">
    <w:p w:rsidR="00532B55" w:rsidRDefault="0053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CD"/>
    <w:multiLevelType w:val="hybridMultilevel"/>
    <w:tmpl w:val="3210013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10454985"/>
    <w:multiLevelType w:val="hybridMultilevel"/>
    <w:tmpl w:val="69A6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A667F"/>
    <w:multiLevelType w:val="hybridMultilevel"/>
    <w:tmpl w:val="C3262EA0"/>
    <w:lvl w:ilvl="0" w:tplc="F15853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43111"/>
    <w:multiLevelType w:val="multilevel"/>
    <w:tmpl w:val="F216F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1D255B97"/>
    <w:multiLevelType w:val="hybridMultilevel"/>
    <w:tmpl w:val="F8FE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03974"/>
    <w:multiLevelType w:val="hybridMultilevel"/>
    <w:tmpl w:val="BD80637C"/>
    <w:lvl w:ilvl="0" w:tplc="DEC022B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A50953"/>
    <w:multiLevelType w:val="multilevel"/>
    <w:tmpl w:val="A692A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4A584E5C"/>
    <w:multiLevelType w:val="hybridMultilevel"/>
    <w:tmpl w:val="B8AC4FBA"/>
    <w:lvl w:ilvl="0" w:tplc="DBE201B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D01D2"/>
    <w:rsid w:val="0001436A"/>
    <w:rsid w:val="000275D8"/>
    <w:rsid w:val="0003667E"/>
    <w:rsid w:val="000372F8"/>
    <w:rsid w:val="000553C5"/>
    <w:rsid w:val="000559D0"/>
    <w:rsid w:val="00073BB2"/>
    <w:rsid w:val="000A4151"/>
    <w:rsid w:val="000C39FF"/>
    <w:rsid w:val="000D21DD"/>
    <w:rsid w:val="000E35D4"/>
    <w:rsid w:val="001102F9"/>
    <w:rsid w:val="00140DEB"/>
    <w:rsid w:val="00146907"/>
    <w:rsid w:val="00170239"/>
    <w:rsid w:val="00172096"/>
    <w:rsid w:val="001914F7"/>
    <w:rsid w:val="001A6349"/>
    <w:rsid w:val="001C443B"/>
    <w:rsid w:val="001D1B22"/>
    <w:rsid w:val="001D2B04"/>
    <w:rsid w:val="001D6355"/>
    <w:rsid w:val="001E0F5F"/>
    <w:rsid w:val="001E355E"/>
    <w:rsid w:val="001F09E2"/>
    <w:rsid w:val="00203FF8"/>
    <w:rsid w:val="00214530"/>
    <w:rsid w:val="0022165B"/>
    <w:rsid w:val="00222F19"/>
    <w:rsid w:val="00233431"/>
    <w:rsid w:val="002374F0"/>
    <w:rsid w:val="002574AC"/>
    <w:rsid w:val="002664F1"/>
    <w:rsid w:val="00271364"/>
    <w:rsid w:val="00273A88"/>
    <w:rsid w:val="002A3169"/>
    <w:rsid w:val="002B1A01"/>
    <w:rsid w:val="002C1EA1"/>
    <w:rsid w:val="002E66F5"/>
    <w:rsid w:val="00314467"/>
    <w:rsid w:val="00314C23"/>
    <w:rsid w:val="00325896"/>
    <w:rsid w:val="003379E1"/>
    <w:rsid w:val="00341E87"/>
    <w:rsid w:val="00354F8A"/>
    <w:rsid w:val="003851F7"/>
    <w:rsid w:val="0038732C"/>
    <w:rsid w:val="003A15A4"/>
    <w:rsid w:val="003A3B26"/>
    <w:rsid w:val="003B0FA5"/>
    <w:rsid w:val="003C0E1D"/>
    <w:rsid w:val="003E6CCD"/>
    <w:rsid w:val="00404FCE"/>
    <w:rsid w:val="00414263"/>
    <w:rsid w:val="004146DE"/>
    <w:rsid w:val="00440DBF"/>
    <w:rsid w:val="004438C6"/>
    <w:rsid w:val="004638FF"/>
    <w:rsid w:val="004761DB"/>
    <w:rsid w:val="00476A46"/>
    <w:rsid w:val="00485E84"/>
    <w:rsid w:val="004B55DA"/>
    <w:rsid w:val="004B76EE"/>
    <w:rsid w:val="004C1DE1"/>
    <w:rsid w:val="004C28BA"/>
    <w:rsid w:val="004D6AEC"/>
    <w:rsid w:val="004E3911"/>
    <w:rsid w:val="00506717"/>
    <w:rsid w:val="005162AD"/>
    <w:rsid w:val="00522381"/>
    <w:rsid w:val="00526E06"/>
    <w:rsid w:val="00532B55"/>
    <w:rsid w:val="00555FAB"/>
    <w:rsid w:val="00563D54"/>
    <w:rsid w:val="005A2F84"/>
    <w:rsid w:val="005A441F"/>
    <w:rsid w:val="005B2647"/>
    <w:rsid w:val="005D2CCF"/>
    <w:rsid w:val="005D53C2"/>
    <w:rsid w:val="005E2CDF"/>
    <w:rsid w:val="005F6541"/>
    <w:rsid w:val="00615DA0"/>
    <w:rsid w:val="00625BAC"/>
    <w:rsid w:val="00634DCA"/>
    <w:rsid w:val="00636BB2"/>
    <w:rsid w:val="0064146B"/>
    <w:rsid w:val="0064196D"/>
    <w:rsid w:val="00651BC8"/>
    <w:rsid w:val="00652B20"/>
    <w:rsid w:val="006621E1"/>
    <w:rsid w:val="00695312"/>
    <w:rsid w:val="006A60A9"/>
    <w:rsid w:val="006C3F54"/>
    <w:rsid w:val="006C7E95"/>
    <w:rsid w:val="006E1469"/>
    <w:rsid w:val="0070083E"/>
    <w:rsid w:val="00716B26"/>
    <w:rsid w:val="00722228"/>
    <w:rsid w:val="00724649"/>
    <w:rsid w:val="007508CE"/>
    <w:rsid w:val="00755470"/>
    <w:rsid w:val="00760FEF"/>
    <w:rsid w:val="00770E8E"/>
    <w:rsid w:val="00775D6E"/>
    <w:rsid w:val="00784469"/>
    <w:rsid w:val="00791D7B"/>
    <w:rsid w:val="00792A3C"/>
    <w:rsid w:val="007A05BF"/>
    <w:rsid w:val="007A62B0"/>
    <w:rsid w:val="007B0927"/>
    <w:rsid w:val="007B1C64"/>
    <w:rsid w:val="007D0AFF"/>
    <w:rsid w:val="007D4394"/>
    <w:rsid w:val="007E4AFA"/>
    <w:rsid w:val="007E66DD"/>
    <w:rsid w:val="007F27FC"/>
    <w:rsid w:val="00804578"/>
    <w:rsid w:val="0081473E"/>
    <w:rsid w:val="00824C8A"/>
    <w:rsid w:val="008265BC"/>
    <w:rsid w:val="00834ABE"/>
    <w:rsid w:val="008460E2"/>
    <w:rsid w:val="008619E7"/>
    <w:rsid w:val="00876F8F"/>
    <w:rsid w:val="00884EFF"/>
    <w:rsid w:val="008A6DAD"/>
    <w:rsid w:val="008B042C"/>
    <w:rsid w:val="008F0625"/>
    <w:rsid w:val="008F2EAB"/>
    <w:rsid w:val="009046B1"/>
    <w:rsid w:val="009178BE"/>
    <w:rsid w:val="00924F77"/>
    <w:rsid w:val="00931096"/>
    <w:rsid w:val="009631CD"/>
    <w:rsid w:val="00974524"/>
    <w:rsid w:val="00975211"/>
    <w:rsid w:val="00986FE7"/>
    <w:rsid w:val="00996663"/>
    <w:rsid w:val="009A03E6"/>
    <w:rsid w:val="009B0A73"/>
    <w:rsid w:val="009B4A24"/>
    <w:rsid w:val="009B538C"/>
    <w:rsid w:val="009B546E"/>
    <w:rsid w:val="009D468E"/>
    <w:rsid w:val="00A00098"/>
    <w:rsid w:val="00A07C3E"/>
    <w:rsid w:val="00A1411F"/>
    <w:rsid w:val="00A178F8"/>
    <w:rsid w:val="00A2787B"/>
    <w:rsid w:val="00A43AEC"/>
    <w:rsid w:val="00A7060E"/>
    <w:rsid w:val="00AA605A"/>
    <w:rsid w:val="00AB7F66"/>
    <w:rsid w:val="00AC2228"/>
    <w:rsid w:val="00AD4DFA"/>
    <w:rsid w:val="00AD7F44"/>
    <w:rsid w:val="00AE1F4C"/>
    <w:rsid w:val="00AE4256"/>
    <w:rsid w:val="00AF36BB"/>
    <w:rsid w:val="00AF6146"/>
    <w:rsid w:val="00B45B51"/>
    <w:rsid w:val="00B53570"/>
    <w:rsid w:val="00B54D3A"/>
    <w:rsid w:val="00B6079D"/>
    <w:rsid w:val="00B736F7"/>
    <w:rsid w:val="00B91F39"/>
    <w:rsid w:val="00BA6C18"/>
    <w:rsid w:val="00BA741F"/>
    <w:rsid w:val="00BC15BF"/>
    <w:rsid w:val="00BC5C9E"/>
    <w:rsid w:val="00BE290C"/>
    <w:rsid w:val="00BE400A"/>
    <w:rsid w:val="00BF3F90"/>
    <w:rsid w:val="00C02EDF"/>
    <w:rsid w:val="00C22530"/>
    <w:rsid w:val="00C30F25"/>
    <w:rsid w:val="00C31F48"/>
    <w:rsid w:val="00C33696"/>
    <w:rsid w:val="00C82C71"/>
    <w:rsid w:val="00C84D40"/>
    <w:rsid w:val="00C947CA"/>
    <w:rsid w:val="00C966F1"/>
    <w:rsid w:val="00CA2928"/>
    <w:rsid w:val="00CC0792"/>
    <w:rsid w:val="00CC0FE5"/>
    <w:rsid w:val="00CD01D2"/>
    <w:rsid w:val="00CD12AF"/>
    <w:rsid w:val="00CD1B77"/>
    <w:rsid w:val="00CD2CF7"/>
    <w:rsid w:val="00D050A3"/>
    <w:rsid w:val="00D054E5"/>
    <w:rsid w:val="00D06D72"/>
    <w:rsid w:val="00D15241"/>
    <w:rsid w:val="00D41372"/>
    <w:rsid w:val="00D44CCC"/>
    <w:rsid w:val="00D641F9"/>
    <w:rsid w:val="00D924E3"/>
    <w:rsid w:val="00DA25D8"/>
    <w:rsid w:val="00DA330F"/>
    <w:rsid w:val="00DB6442"/>
    <w:rsid w:val="00DB6473"/>
    <w:rsid w:val="00DC769F"/>
    <w:rsid w:val="00DD3E8F"/>
    <w:rsid w:val="00DF0264"/>
    <w:rsid w:val="00DF5167"/>
    <w:rsid w:val="00DF5FE5"/>
    <w:rsid w:val="00E03EA9"/>
    <w:rsid w:val="00E04E5C"/>
    <w:rsid w:val="00E05117"/>
    <w:rsid w:val="00E15F1F"/>
    <w:rsid w:val="00E37ABE"/>
    <w:rsid w:val="00E546EA"/>
    <w:rsid w:val="00E54F29"/>
    <w:rsid w:val="00E66636"/>
    <w:rsid w:val="00EC4E4A"/>
    <w:rsid w:val="00ED6357"/>
    <w:rsid w:val="00F04CEC"/>
    <w:rsid w:val="00F4056D"/>
    <w:rsid w:val="00F421FF"/>
    <w:rsid w:val="00F45284"/>
    <w:rsid w:val="00F64245"/>
    <w:rsid w:val="00F87A5E"/>
    <w:rsid w:val="00FB3E64"/>
    <w:rsid w:val="00FD24DE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B2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3BB2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3B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073BB2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073B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073BB2"/>
    <w:rPr>
      <w:rFonts w:cs="Times New Roman"/>
      <w:sz w:val="20"/>
      <w:szCs w:val="20"/>
    </w:rPr>
  </w:style>
  <w:style w:type="character" w:customStyle="1" w:styleId="Subst">
    <w:name w:val="Subst"/>
    <w:rsid w:val="00440DBF"/>
    <w:rPr>
      <w:b/>
      <w:i/>
    </w:rPr>
  </w:style>
  <w:style w:type="paragraph" w:styleId="3">
    <w:name w:val="Body Text 3"/>
    <w:basedOn w:val="a"/>
    <w:link w:val="30"/>
    <w:rsid w:val="00716B26"/>
    <w:pPr>
      <w:autoSpaceDE/>
      <w:autoSpaceDN/>
      <w:spacing w:after="120"/>
    </w:pPr>
    <w:rPr>
      <w:sz w:val="16"/>
    </w:rPr>
  </w:style>
  <w:style w:type="character" w:customStyle="1" w:styleId="30">
    <w:name w:val="Основной текст 3 Знак"/>
    <w:link w:val="3"/>
    <w:locked/>
    <w:rsid w:val="00716B26"/>
    <w:rPr>
      <w:rFonts w:eastAsia="Times New Roman"/>
      <w:sz w:val="16"/>
      <w:lang w:eastAsia="ru-RU"/>
    </w:rPr>
  </w:style>
  <w:style w:type="character" w:styleId="a9">
    <w:name w:val="Hyperlink"/>
    <w:rsid w:val="0070083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84D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iceouttxt">
    <w:name w:val="iceouttxt"/>
    <w:rsid w:val="00C84D40"/>
  </w:style>
  <w:style w:type="paragraph" w:customStyle="1" w:styleId="1">
    <w:name w:val="Абзац списка1"/>
    <w:basedOn w:val="a"/>
    <w:rsid w:val="00C84D4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228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722228"/>
    <w:rPr>
      <w:rFonts w:ascii="Calibri" w:eastAsia="Calibri" w:hAnsi="Calibri"/>
      <w:lang w:eastAsia="en-US"/>
    </w:rPr>
  </w:style>
  <w:style w:type="paragraph" w:styleId="ad">
    <w:name w:val="No Spacing"/>
    <w:uiPriority w:val="1"/>
    <w:qFormat/>
    <w:rsid w:val="0014690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53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uiPriority w:val="99"/>
    <w:unhideWhenUsed/>
    <w:rsid w:val="00652B20"/>
    <w:rPr>
      <w:sz w:val="16"/>
      <w:szCs w:val="16"/>
    </w:rPr>
  </w:style>
  <w:style w:type="paragraph" w:customStyle="1" w:styleId="ConsPlusNormal">
    <w:name w:val="ConsPlusNormal"/>
    <w:rsid w:val="00341E87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Варенцова Екатерина</dc:creator>
  <cp:lastModifiedBy>Ольга</cp:lastModifiedBy>
  <cp:revision>2</cp:revision>
  <cp:lastPrinted>2016-05-17T14:36:00Z</cp:lastPrinted>
  <dcterms:created xsi:type="dcterms:W3CDTF">2016-05-17T19:59:00Z</dcterms:created>
  <dcterms:modified xsi:type="dcterms:W3CDTF">2016-05-17T19:59:00Z</dcterms:modified>
</cp:coreProperties>
</file>