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9D" w:rsidRPr="008D1ECD" w:rsidRDefault="005C589D" w:rsidP="005C589D">
      <w:pPr>
        <w:tabs>
          <w:tab w:val="left" w:pos="4253"/>
        </w:tabs>
        <w:jc w:val="center"/>
        <w:rPr>
          <w:b/>
          <w:bCs/>
        </w:rPr>
      </w:pPr>
      <w:r w:rsidRPr="008D1ECD">
        <w:rPr>
          <w:b/>
          <w:bCs/>
        </w:rPr>
        <w:t xml:space="preserve">Сообщение о существенном факте </w:t>
      </w:r>
    </w:p>
    <w:p w:rsidR="005C589D" w:rsidRPr="008D1ECD" w:rsidRDefault="005C589D" w:rsidP="005C589D">
      <w:pPr>
        <w:jc w:val="center"/>
        <w:rPr>
          <w:b/>
          <w:bCs/>
        </w:rPr>
      </w:pPr>
      <w:r w:rsidRPr="008D1ECD">
        <w:rPr>
          <w:b/>
        </w:rPr>
        <w:t>«</w:t>
      </w:r>
      <w:r w:rsidR="006279A5" w:rsidRPr="008D1ECD">
        <w:rPr>
          <w:b/>
        </w:rPr>
        <w:t xml:space="preserve">О созыве и проведении </w:t>
      </w:r>
      <w:r w:rsidR="005B7D36" w:rsidRPr="008D1ECD">
        <w:rPr>
          <w:b/>
        </w:rPr>
        <w:t xml:space="preserve">повторного </w:t>
      </w:r>
      <w:r w:rsidR="006279A5" w:rsidRPr="008D1ECD">
        <w:rPr>
          <w:b/>
        </w:rPr>
        <w:t>общего собрания акционеров эмитента</w:t>
      </w:r>
      <w:r w:rsidRPr="008D1ECD">
        <w:rPr>
          <w:b/>
        </w:rPr>
        <w:t>»</w:t>
      </w:r>
    </w:p>
    <w:p w:rsidR="005C589D" w:rsidRPr="008D1ECD" w:rsidRDefault="005C589D" w:rsidP="005C589D">
      <w:pPr>
        <w:ind w:left="1134" w:right="1134"/>
        <w:jc w:val="center"/>
        <w:rPr>
          <w:b/>
          <w:bC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8D1ECD" w:rsidTr="00751062">
        <w:trPr>
          <w:cantSplit/>
        </w:trPr>
        <w:tc>
          <w:tcPr>
            <w:tcW w:w="9979" w:type="dxa"/>
            <w:gridSpan w:val="2"/>
          </w:tcPr>
          <w:p w:rsidR="005C589D" w:rsidRPr="008D1ECD" w:rsidRDefault="005C589D" w:rsidP="00751062">
            <w:pPr>
              <w:jc w:val="center"/>
            </w:pPr>
            <w:r w:rsidRPr="008D1ECD">
              <w:t>1. Общие сведения</w:t>
            </w:r>
          </w:p>
        </w:tc>
      </w:tr>
      <w:tr w:rsidR="00CD068F" w:rsidRPr="008D1ECD" w:rsidTr="00751062">
        <w:tc>
          <w:tcPr>
            <w:tcW w:w="4933" w:type="dxa"/>
          </w:tcPr>
          <w:p w:rsidR="00CD068F" w:rsidRPr="008D1ECD" w:rsidRDefault="00CD068F" w:rsidP="00CD068F">
            <w:pPr>
              <w:ind w:right="57"/>
              <w:jc w:val="both"/>
            </w:pPr>
            <w:r w:rsidRPr="008D1ECD">
              <w:t xml:space="preserve">1.1. Полное фирменное наименование эмитента </w:t>
            </w:r>
          </w:p>
        </w:tc>
        <w:tc>
          <w:tcPr>
            <w:tcW w:w="5046" w:type="dxa"/>
          </w:tcPr>
          <w:p w:rsidR="00CD068F" w:rsidRPr="008D1ECD" w:rsidRDefault="00CD068F" w:rsidP="00CD068F">
            <w:pPr>
              <w:ind w:left="57" w:right="57"/>
              <w:jc w:val="both"/>
            </w:pPr>
            <w:r w:rsidRPr="008D1ECD">
              <w:t xml:space="preserve">Публичное акционерное общество «Фармсинтез» </w:t>
            </w:r>
            <w:r w:rsidRPr="008D1ECD">
              <w:br/>
            </w:r>
          </w:p>
        </w:tc>
      </w:tr>
      <w:tr w:rsidR="00CD068F" w:rsidRPr="008D1ECD" w:rsidTr="00751062">
        <w:tc>
          <w:tcPr>
            <w:tcW w:w="4933" w:type="dxa"/>
          </w:tcPr>
          <w:p w:rsidR="00CD068F" w:rsidRPr="008D1ECD" w:rsidRDefault="00CD068F" w:rsidP="00CD068F">
            <w:pPr>
              <w:shd w:val="clear" w:color="auto" w:fill="FFFFFF"/>
              <w:autoSpaceDE/>
              <w:autoSpaceDN/>
              <w:rPr>
                <w:color w:val="000000"/>
              </w:rPr>
            </w:pPr>
            <w:r w:rsidRPr="008D1ECD">
              <w:rPr>
                <w:color w:val="000000"/>
              </w:rPr>
              <w:t>1.2. Адрес эмитента, указанный в едином государственном реестре юридических лиц:</w:t>
            </w:r>
          </w:p>
        </w:tc>
        <w:tc>
          <w:tcPr>
            <w:tcW w:w="5046" w:type="dxa"/>
          </w:tcPr>
          <w:p w:rsidR="00CD068F" w:rsidRPr="008D1ECD" w:rsidRDefault="00CD068F" w:rsidP="00CD068F">
            <w:pPr>
              <w:ind w:left="57" w:right="57"/>
              <w:jc w:val="both"/>
            </w:pPr>
            <w:r w:rsidRPr="008D1ECD">
              <w:t xml:space="preserve">188663, Ленинградская обл., Всеволожский муниципальный район, </w:t>
            </w:r>
            <w:proofErr w:type="spellStart"/>
            <w:r w:rsidRPr="008D1ECD">
              <w:t>Кузьмоловское</w:t>
            </w:r>
            <w:proofErr w:type="spellEnd"/>
            <w:r w:rsidRPr="008D1ECD">
              <w:t xml:space="preserve"> городское поселение, </w:t>
            </w:r>
            <w:proofErr w:type="spellStart"/>
            <w:r w:rsidRPr="008D1ECD">
              <w:t>гп</w:t>
            </w:r>
            <w:proofErr w:type="spellEnd"/>
            <w:r w:rsidRPr="008D1ECD">
              <w:t xml:space="preserve">. </w:t>
            </w:r>
            <w:proofErr w:type="spellStart"/>
            <w:r w:rsidRPr="008D1ECD">
              <w:t>Кузьмоловский</w:t>
            </w:r>
            <w:proofErr w:type="spellEnd"/>
            <w:r w:rsidRPr="008D1ECD">
              <w:t>, ул. Заводская, здание 3, корпус 134</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 xml:space="preserve">1.3. Основной государственный регистрационный номер (ОГРН) эмитента </w:t>
            </w:r>
          </w:p>
        </w:tc>
        <w:tc>
          <w:tcPr>
            <w:tcW w:w="5046" w:type="dxa"/>
          </w:tcPr>
          <w:p w:rsidR="00CD068F" w:rsidRPr="008D1ECD" w:rsidRDefault="00CD068F" w:rsidP="00CD068F">
            <w:pPr>
              <w:ind w:left="57" w:right="57"/>
              <w:jc w:val="both"/>
            </w:pPr>
            <w:r w:rsidRPr="008D1ECD">
              <w:t>1034700559189</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1.4. Идентификационный номер налогоплательщика (ИНН) эмитента</w:t>
            </w:r>
          </w:p>
        </w:tc>
        <w:tc>
          <w:tcPr>
            <w:tcW w:w="5046" w:type="dxa"/>
          </w:tcPr>
          <w:p w:rsidR="00CD068F" w:rsidRPr="008D1ECD" w:rsidRDefault="00CD068F" w:rsidP="00CD068F">
            <w:pPr>
              <w:ind w:left="57" w:right="57"/>
              <w:jc w:val="both"/>
            </w:pPr>
            <w:r w:rsidRPr="008D1ECD">
              <w:t>7801075160</w:t>
            </w:r>
          </w:p>
        </w:tc>
      </w:tr>
      <w:tr w:rsidR="00CD068F" w:rsidRPr="008D1ECD" w:rsidTr="00751062">
        <w:tc>
          <w:tcPr>
            <w:tcW w:w="4933" w:type="dxa"/>
          </w:tcPr>
          <w:p w:rsidR="00CD068F" w:rsidRPr="008D1ECD" w:rsidRDefault="00CD068F" w:rsidP="00CD068F">
            <w:pPr>
              <w:ind w:left="57" w:right="57"/>
              <w:jc w:val="both"/>
            </w:pPr>
            <w:r w:rsidRPr="008D1ECD">
              <w:t>1.5. Уникальный код эмитента, присвоенный регистрирующим органом</w:t>
            </w:r>
          </w:p>
        </w:tc>
        <w:tc>
          <w:tcPr>
            <w:tcW w:w="5046" w:type="dxa"/>
          </w:tcPr>
          <w:p w:rsidR="00CD068F" w:rsidRPr="008D1ECD" w:rsidRDefault="00CD068F" w:rsidP="00CD068F">
            <w:pPr>
              <w:ind w:left="57" w:right="57"/>
              <w:jc w:val="both"/>
            </w:pPr>
            <w:r w:rsidRPr="008D1ECD">
              <w:t>09669-J</w:t>
            </w:r>
          </w:p>
        </w:tc>
      </w:tr>
      <w:tr w:rsidR="00CD068F" w:rsidRPr="008D1ECD" w:rsidTr="00751062">
        <w:tc>
          <w:tcPr>
            <w:tcW w:w="4933" w:type="dxa"/>
          </w:tcPr>
          <w:p w:rsidR="00CD068F" w:rsidRPr="008D1ECD" w:rsidRDefault="00CD068F" w:rsidP="00CD068F">
            <w:pPr>
              <w:ind w:left="57" w:right="57"/>
              <w:jc w:val="both"/>
            </w:pPr>
            <w:r w:rsidRPr="008D1ECD">
              <w:t>1.6. Адрес страницы в сети Интернет, используемой эмитентом для раскрытия информации</w:t>
            </w:r>
          </w:p>
        </w:tc>
        <w:tc>
          <w:tcPr>
            <w:tcW w:w="5046" w:type="dxa"/>
          </w:tcPr>
          <w:p w:rsidR="00CD068F" w:rsidRPr="008D1ECD" w:rsidRDefault="00CD068F" w:rsidP="00CD068F">
            <w:pPr>
              <w:ind w:left="57" w:right="57"/>
              <w:jc w:val="both"/>
              <w:rPr>
                <w:i/>
              </w:rPr>
            </w:pPr>
            <w:r w:rsidRPr="008D1ECD">
              <w:rPr>
                <w:i/>
              </w:rPr>
              <w:t>http://www.pharmsynthez.com/,</w:t>
            </w:r>
          </w:p>
          <w:p w:rsidR="00CD068F" w:rsidRPr="008D1ECD" w:rsidRDefault="00CD068F" w:rsidP="00CD068F">
            <w:pPr>
              <w:ind w:left="57" w:right="57"/>
              <w:jc w:val="both"/>
              <w:rPr>
                <w:i/>
              </w:rPr>
            </w:pPr>
            <w:r w:rsidRPr="008D1ECD">
              <w:rPr>
                <w:i/>
              </w:rPr>
              <w:t>http://www.e-disclosure.ru/portal/company.aspx?id=4378</w:t>
            </w:r>
          </w:p>
        </w:tc>
      </w:tr>
      <w:tr w:rsidR="00CD068F" w:rsidRPr="008D1ECD" w:rsidTr="00751062">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pPr>
            <w:r w:rsidRPr="008D1ECD">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CD068F" w:rsidRPr="008D1ECD" w:rsidRDefault="005C212A" w:rsidP="003905DE">
            <w:pPr>
              <w:ind w:left="57" w:right="57"/>
              <w:jc w:val="both"/>
            </w:pPr>
            <w:r>
              <w:t>14</w:t>
            </w:r>
            <w:r w:rsidR="00CD068F" w:rsidRPr="008D1ECD">
              <w:t>.</w:t>
            </w:r>
            <w:r>
              <w:t>03</w:t>
            </w:r>
            <w:r w:rsidR="00CD068F" w:rsidRPr="008D1ECD">
              <w:t>.202</w:t>
            </w:r>
            <w:r w:rsidR="003905DE">
              <w:t>4</w:t>
            </w:r>
          </w:p>
        </w:tc>
      </w:tr>
    </w:tbl>
    <w:p w:rsidR="005C589D" w:rsidRPr="008D1ECD" w:rsidRDefault="005C589D" w:rsidP="005C589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8D1ECD" w:rsidTr="00751062">
        <w:trPr>
          <w:trHeight w:val="255"/>
        </w:trPr>
        <w:tc>
          <w:tcPr>
            <w:tcW w:w="9951" w:type="dxa"/>
          </w:tcPr>
          <w:p w:rsidR="005C589D" w:rsidRPr="008D1ECD" w:rsidRDefault="005C589D" w:rsidP="00751062">
            <w:pPr>
              <w:adjustRightInd w:val="0"/>
              <w:ind w:left="57" w:right="57"/>
              <w:jc w:val="center"/>
              <w:outlineLvl w:val="3"/>
            </w:pPr>
            <w:r w:rsidRPr="008D1ECD">
              <w:t>2. Содержание сообщения</w:t>
            </w:r>
          </w:p>
        </w:tc>
      </w:tr>
      <w:tr w:rsidR="00924E5F" w:rsidRPr="008D1ECD" w:rsidTr="008263C9">
        <w:trPr>
          <w:trHeight w:val="1266"/>
        </w:trPr>
        <w:tc>
          <w:tcPr>
            <w:tcW w:w="9951" w:type="dxa"/>
            <w:tcBorders>
              <w:top w:val="single" w:sz="4" w:space="0" w:color="auto"/>
              <w:left w:val="single" w:sz="4" w:space="0" w:color="auto"/>
              <w:bottom w:val="single" w:sz="4" w:space="0" w:color="auto"/>
              <w:right w:val="single" w:sz="4" w:space="0" w:color="auto"/>
            </w:tcBorders>
          </w:tcPr>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2.1. вид общего собрания участников (акционеров) эмитента: </w:t>
            </w:r>
          </w:p>
          <w:p w:rsidR="0091270E" w:rsidRPr="008D1ECD" w:rsidRDefault="006F11B4"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В</w:t>
            </w:r>
            <w:r w:rsidR="0091270E" w:rsidRPr="008D1ECD">
              <w:rPr>
                <w:rFonts w:ascii="Times New Roman" w:hAnsi="Times New Roman"/>
                <w:b/>
                <w:sz w:val="20"/>
                <w:szCs w:val="20"/>
              </w:rPr>
              <w:t>неочередное общее собрание акционеров</w:t>
            </w:r>
            <w:r w:rsidR="00561ED1" w:rsidRPr="008D1ECD">
              <w:rPr>
                <w:rFonts w:ascii="Times New Roman" w:hAnsi="Times New Roman"/>
                <w:b/>
                <w:sz w:val="20"/>
                <w:szCs w:val="20"/>
              </w:rPr>
              <w:t>;</w:t>
            </w:r>
          </w:p>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2.2. форма проведения общего собрания участников (акционеров) эмитента: </w:t>
            </w:r>
          </w:p>
          <w:p w:rsidR="0091270E" w:rsidRPr="008D1ECD" w:rsidRDefault="006F11B4"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З</w:t>
            </w:r>
            <w:r w:rsidR="0091270E" w:rsidRPr="008D1ECD">
              <w:rPr>
                <w:rFonts w:ascii="Times New Roman" w:hAnsi="Times New Roman"/>
                <w:b/>
                <w:sz w:val="20"/>
                <w:szCs w:val="20"/>
              </w:rPr>
              <w:t>аочное голосование</w:t>
            </w:r>
            <w:r w:rsidR="00561ED1" w:rsidRPr="008D1ECD">
              <w:rPr>
                <w:rFonts w:ascii="Times New Roman" w:hAnsi="Times New Roman"/>
                <w:sz w:val="20"/>
                <w:szCs w:val="20"/>
              </w:rPr>
              <w:t>;</w:t>
            </w:r>
          </w:p>
          <w:p w:rsidR="00F900DE" w:rsidRDefault="0091270E" w:rsidP="00490408">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2.3. 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 </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Дата проведения внеочередного общего собрани</w:t>
            </w:r>
            <w:r w:rsidR="003905DE">
              <w:rPr>
                <w:rFonts w:ascii="Times New Roman" w:hAnsi="Times New Roman"/>
                <w:b/>
                <w:sz w:val="20"/>
                <w:szCs w:val="20"/>
              </w:rPr>
              <w:t>я акционеров ПАО «Фармсинтез»: 1</w:t>
            </w:r>
            <w:r w:rsidR="005C212A">
              <w:rPr>
                <w:rFonts w:ascii="Times New Roman" w:hAnsi="Times New Roman"/>
                <w:b/>
                <w:sz w:val="20"/>
                <w:szCs w:val="20"/>
              </w:rPr>
              <w:t>7</w:t>
            </w:r>
            <w:r w:rsidRPr="008D1ECD">
              <w:rPr>
                <w:rFonts w:ascii="Times New Roman" w:hAnsi="Times New Roman"/>
                <w:b/>
                <w:sz w:val="20"/>
                <w:szCs w:val="20"/>
              </w:rPr>
              <w:t xml:space="preserve"> </w:t>
            </w:r>
            <w:r w:rsidR="005C212A">
              <w:rPr>
                <w:rFonts w:ascii="Times New Roman" w:hAnsi="Times New Roman"/>
                <w:b/>
                <w:sz w:val="20"/>
                <w:szCs w:val="20"/>
              </w:rPr>
              <w:t xml:space="preserve">апреля </w:t>
            </w:r>
            <w:r w:rsidRPr="008D1ECD">
              <w:rPr>
                <w:rFonts w:ascii="Times New Roman" w:hAnsi="Times New Roman"/>
                <w:b/>
                <w:sz w:val="20"/>
                <w:szCs w:val="20"/>
              </w:rPr>
              <w:t>202</w:t>
            </w:r>
            <w:r w:rsidR="003905DE">
              <w:rPr>
                <w:rFonts w:ascii="Times New Roman" w:hAnsi="Times New Roman"/>
                <w:b/>
                <w:sz w:val="20"/>
                <w:szCs w:val="20"/>
              </w:rPr>
              <w:t>4</w:t>
            </w:r>
            <w:r w:rsidRPr="008D1ECD">
              <w:rPr>
                <w:rFonts w:ascii="Times New Roman" w:hAnsi="Times New Roman"/>
                <w:b/>
                <w:sz w:val="20"/>
                <w:szCs w:val="20"/>
              </w:rPr>
              <w:t xml:space="preserve"> г.</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Почтовые адреса, по которым могут быть направлены заполненные бюллетени для голосования: </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Российская Федерация, 197110, г. Санкт-Петербург, улица Корпусная, д. 9, литер А, ПАО «Фармсинтез»;</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Российская Федерац</w:t>
            </w:r>
            <w:bookmarkStart w:id="0" w:name="_GoBack"/>
            <w:bookmarkEnd w:id="0"/>
            <w:r w:rsidRPr="008D1ECD">
              <w:rPr>
                <w:rFonts w:ascii="Times New Roman" w:hAnsi="Times New Roman"/>
                <w:b/>
                <w:sz w:val="20"/>
                <w:szCs w:val="20"/>
              </w:rPr>
              <w:t xml:space="preserve">ия, 188663, Ленинградская обл., Всеволожский муниципальный район, </w:t>
            </w:r>
            <w:proofErr w:type="spellStart"/>
            <w:r w:rsidRPr="008D1ECD">
              <w:rPr>
                <w:rFonts w:ascii="Times New Roman" w:hAnsi="Times New Roman"/>
                <w:b/>
                <w:sz w:val="20"/>
                <w:szCs w:val="20"/>
              </w:rPr>
              <w:t>Кузьмоловское</w:t>
            </w:r>
            <w:proofErr w:type="spellEnd"/>
            <w:r w:rsidRPr="008D1ECD">
              <w:rPr>
                <w:rFonts w:ascii="Times New Roman" w:hAnsi="Times New Roman"/>
                <w:b/>
                <w:sz w:val="20"/>
                <w:szCs w:val="20"/>
              </w:rPr>
              <w:t xml:space="preserve"> городское поселение, </w:t>
            </w:r>
            <w:proofErr w:type="spellStart"/>
            <w:r w:rsidRPr="008D1ECD">
              <w:rPr>
                <w:rFonts w:ascii="Times New Roman" w:hAnsi="Times New Roman"/>
                <w:b/>
                <w:sz w:val="20"/>
                <w:szCs w:val="20"/>
              </w:rPr>
              <w:t>гп</w:t>
            </w:r>
            <w:proofErr w:type="spellEnd"/>
            <w:r w:rsidRPr="008D1ECD">
              <w:rPr>
                <w:rFonts w:ascii="Times New Roman" w:hAnsi="Times New Roman"/>
                <w:b/>
                <w:sz w:val="20"/>
                <w:szCs w:val="20"/>
              </w:rPr>
              <w:t xml:space="preserve">. </w:t>
            </w:r>
            <w:proofErr w:type="spellStart"/>
            <w:r w:rsidRPr="008D1ECD">
              <w:rPr>
                <w:rFonts w:ascii="Times New Roman" w:hAnsi="Times New Roman"/>
                <w:b/>
                <w:sz w:val="20"/>
                <w:szCs w:val="20"/>
              </w:rPr>
              <w:t>Кузьмоловский</w:t>
            </w:r>
            <w:proofErr w:type="spellEnd"/>
            <w:r w:rsidRPr="008D1ECD">
              <w:rPr>
                <w:rFonts w:ascii="Times New Roman" w:hAnsi="Times New Roman"/>
                <w:b/>
                <w:sz w:val="20"/>
                <w:szCs w:val="20"/>
              </w:rPr>
              <w:t xml:space="preserve">, ул. Заводская, здание 3, корпус 134, ПАО «Фармсинтез». </w:t>
            </w:r>
          </w:p>
          <w:p w:rsidR="004E079C" w:rsidRPr="008D1ECD" w:rsidRDefault="004E079C" w:rsidP="004E079C">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2.4. Дата окончания приема бюллетеней для голосования (в случае проведения общего собрания в форме заочного голосования): </w:t>
            </w:r>
            <w:r w:rsidR="005C212A">
              <w:rPr>
                <w:rFonts w:ascii="Times New Roman" w:hAnsi="Times New Roman"/>
                <w:b/>
                <w:sz w:val="20"/>
                <w:szCs w:val="20"/>
              </w:rPr>
              <w:t>17</w:t>
            </w:r>
            <w:r w:rsidR="003905DE" w:rsidRPr="008D1ECD">
              <w:rPr>
                <w:rFonts w:ascii="Times New Roman" w:hAnsi="Times New Roman"/>
                <w:b/>
                <w:sz w:val="20"/>
                <w:szCs w:val="20"/>
              </w:rPr>
              <w:t xml:space="preserve"> </w:t>
            </w:r>
            <w:r w:rsidR="005C212A">
              <w:rPr>
                <w:rFonts w:ascii="Times New Roman" w:hAnsi="Times New Roman"/>
                <w:b/>
                <w:sz w:val="20"/>
                <w:szCs w:val="20"/>
              </w:rPr>
              <w:t>апреля</w:t>
            </w:r>
            <w:r w:rsidR="003905DE" w:rsidRPr="008D1ECD">
              <w:rPr>
                <w:rFonts w:ascii="Times New Roman" w:hAnsi="Times New Roman"/>
                <w:b/>
                <w:sz w:val="20"/>
                <w:szCs w:val="20"/>
              </w:rPr>
              <w:t xml:space="preserve"> 202</w:t>
            </w:r>
            <w:r w:rsidR="003905DE">
              <w:rPr>
                <w:rFonts w:ascii="Times New Roman" w:hAnsi="Times New Roman"/>
                <w:b/>
                <w:sz w:val="20"/>
                <w:szCs w:val="20"/>
              </w:rPr>
              <w:t>4</w:t>
            </w:r>
            <w:r w:rsidR="003905DE" w:rsidRPr="008D1ECD">
              <w:rPr>
                <w:rFonts w:ascii="Times New Roman" w:hAnsi="Times New Roman"/>
                <w:b/>
                <w:sz w:val="20"/>
                <w:szCs w:val="20"/>
              </w:rPr>
              <w:t xml:space="preserve"> </w:t>
            </w:r>
            <w:r w:rsidRPr="008D1ECD">
              <w:rPr>
                <w:rFonts w:ascii="Times New Roman" w:hAnsi="Times New Roman"/>
                <w:b/>
                <w:sz w:val="20"/>
                <w:szCs w:val="20"/>
              </w:rPr>
              <w:t>года.</w:t>
            </w:r>
          </w:p>
          <w:p w:rsidR="0091270E"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2.5</w:t>
            </w:r>
            <w:r w:rsidR="0091270E" w:rsidRPr="008D1ECD">
              <w:rPr>
                <w:rFonts w:ascii="Times New Roman" w:hAnsi="Times New Roman"/>
                <w:sz w:val="20"/>
                <w:szCs w:val="20"/>
              </w:rPr>
              <w:t xml:space="preserve">. дата, на которую определяются (фиксируются) лица, имеющие право на участие в общем собрании участников (акционеров) эмитента: </w:t>
            </w:r>
            <w:r w:rsidR="005C212A">
              <w:rPr>
                <w:rFonts w:ascii="Times New Roman" w:hAnsi="Times New Roman"/>
                <w:b/>
                <w:sz w:val="20"/>
                <w:szCs w:val="20"/>
              </w:rPr>
              <w:t>25</w:t>
            </w:r>
            <w:r w:rsidR="0091270E" w:rsidRPr="00D9212C">
              <w:rPr>
                <w:rFonts w:ascii="Times New Roman" w:hAnsi="Times New Roman"/>
                <w:b/>
                <w:sz w:val="20"/>
                <w:szCs w:val="20"/>
              </w:rPr>
              <w:t xml:space="preserve"> </w:t>
            </w:r>
            <w:r w:rsidR="005C212A">
              <w:rPr>
                <w:rFonts w:ascii="Times New Roman" w:hAnsi="Times New Roman"/>
                <w:b/>
                <w:sz w:val="20"/>
                <w:szCs w:val="20"/>
              </w:rPr>
              <w:t>марта</w:t>
            </w:r>
            <w:r w:rsidR="0091270E" w:rsidRPr="00D9212C">
              <w:rPr>
                <w:rFonts w:ascii="Times New Roman" w:hAnsi="Times New Roman"/>
                <w:b/>
                <w:sz w:val="20"/>
                <w:szCs w:val="20"/>
              </w:rPr>
              <w:t xml:space="preserve"> 202</w:t>
            </w:r>
            <w:r w:rsidR="003905DE">
              <w:rPr>
                <w:rFonts w:ascii="Times New Roman" w:hAnsi="Times New Roman"/>
                <w:b/>
                <w:sz w:val="20"/>
                <w:szCs w:val="20"/>
              </w:rPr>
              <w:t>4</w:t>
            </w:r>
            <w:r w:rsidR="0091270E" w:rsidRPr="00D9212C">
              <w:rPr>
                <w:rFonts w:ascii="Times New Roman" w:hAnsi="Times New Roman"/>
                <w:b/>
                <w:sz w:val="20"/>
                <w:szCs w:val="20"/>
              </w:rPr>
              <w:t xml:space="preserve"> года;</w:t>
            </w:r>
            <w:r w:rsidR="0091270E" w:rsidRPr="008D1ECD">
              <w:rPr>
                <w:rFonts w:ascii="Times New Roman" w:hAnsi="Times New Roman"/>
                <w:sz w:val="20"/>
                <w:szCs w:val="20"/>
              </w:rPr>
              <w:t xml:space="preserve"> </w:t>
            </w:r>
          </w:p>
          <w:p w:rsidR="003D0891"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2.6</w:t>
            </w:r>
            <w:r w:rsidR="0091270E" w:rsidRPr="008D1ECD">
              <w:rPr>
                <w:rFonts w:ascii="Times New Roman" w:hAnsi="Times New Roman"/>
                <w:sz w:val="20"/>
                <w:szCs w:val="20"/>
              </w:rPr>
              <w:t xml:space="preserve">. повестка дня общего собрания участников (акционеров) эмитента; </w:t>
            </w:r>
          </w:p>
          <w:p w:rsidR="005C212A" w:rsidRPr="005C212A" w:rsidRDefault="005C212A" w:rsidP="005C212A">
            <w:pPr>
              <w:pStyle w:val="a3"/>
              <w:spacing w:line="276" w:lineRule="auto"/>
              <w:ind w:left="78" w:right="283"/>
              <w:jc w:val="both"/>
              <w:rPr>
                <w:rFonts w:ascii="Times New Roman" w:hAnsi="Times New Roman"/>
                <w:b/>
                <w:sz w:val="20"/>
                <w:szCs w:val="20"/>
                <w:u w:val="single"/>
              </w:rPr>
            </w:pPr>
            <w:r>
              <w:rPr>
                <w:rFonts w:ascii="Times New Roman" w:hAnsi="Times New Roman"/>
                <w:b/>
                <w:sz w:val="20"/>
                <w:szCs w:val="20"/>
                <w:u w:val="single"/>
              </w:rPr>
              <w:t>Вопрос № 1.</w:t>
            </w:r>
            <w:r w:rsidRPr="005C212A">
              <w:rPr>
                <w:rFonts w:ascii="Times New Roman" w:hAnsi="Times New Roman"/>
                <w:b/>
                <w:sz w:val="20"/>
                <w:szCs w:val="20"/>
                <w:u w:val="single"/>
              </w:rPr>
              <w:t xml:space="preserve"> </w:t>
            </w:r>
          </w:p>
          <w:p w:rsidR="005C212A" w:rsidRPr="005C212A" w:rsidRDefault="005C212A" w:rsidP="005C212A">
            <w:pPr>
              <w:pStyle w:val="a3"/>
              <w:spacing w:line="276" w:lineRule="auto"/>
              <w:ind w:left="78" w:right="283"/>
              <w:jc w:val="both"/>
              <w:rPr>
                <w:rFonts w:ascii="Times New Roman" w:hAnsi="Times New Roman"/>
                <w:sz w:val="20"/>
                <w:szCs w:val="20"/>
              </w:rPr>
            </w:pPr>
            <w:r w:rsidRPr="005C212A">
              <w:rPr>
                <w:rFonts w:ascii="Times New Roman" w:hAnsi="Times New Roman"/>
                <w:sz w:val="20"/>
                <w:szCs w:val="20"/>
              </w:rPr>
              <w:t>Об избрании членов Ревизионной комиссии.</w:t>
            </w:r>
          </w:p>
          <w:p w:rsidR="005C212A" w:rsidRPr="005C212A" w:rsidRDefault="005C212A" w:rsidP="005C212A">
            <w:pPr>
              <w:pStyle w:val="a3"/>
              <w:spacing w:line="276" w:lineRule="auto"/>
              <w:ind w:left="78" w:right="283"/>
              <w:jc w:val="both"/>
              <w:rPr>
                <w:rFonts w:ascii="Times New Roman" w:hAnsi="Times New Roman"/>
                <w:b/>
                <w:sz w:val="20"/>
                <w:szCs w:val="20"/>
                <w:u w:val="single"/>
              </w:rPr>
            </w:pPr>
            <w:r w:rsidRPr="005C212A">
              <w:rPr>
                <w:rFonts w:ascii="Times New Roman" w:hAnsi="Times New Roman"/>
                <w:b/>
                <w:sz w:val="20"/>
                <w:szCs w:val="20"/>
                <w:u w:val="single"/>
              </w:rPr>
              <w:t>Вопрос № 2</w:t>
            </w:r>
            <w:r>
              <w:rPr>
                <w:rFonts w:ascii="Times New Roman" w:hAnsi="Times New Roman"/>
                <w:b/>
                <w:sz w:val="20"/>
                <w:szCs w:val="20"/>
                <w:u w:val="single"/>
              </w:rPr>
              <w:t>.</w:t>
            </w:r>
            <w:r w:rsidRPr="005C212A">
              <w:rPr>
                <w:rFonts w:ascii="Times New Roman" w:hAnsi="Times New Roman"/>
                <w:b/>
                <w:sz w:val="20"/>
                <w:szCs w:val="20"/>
                <w:u w:val="single"/>
              </w:rPr>
              <w:t xml:space="preserve"> </w:t>
            </w:r>
          </w:p>
          <w:p w:rsidR="005C212A" w:rsidRPr="005C212A" w:rsidRDefault="005C212A" w:rsidP="005C212A">
            <w:pPr>
              <w:pStyle w:val="a3"/>
              <w:spacing w:line="276" w:lineRule="auto"/>
              <w:ind w:left="78" w:right="283"/>
              <w:jc w:val="both"/>
              <w:rPr>
                <w:rFonts w:ascii="Times New Roman" w:hAnsi="Times New Roman"/>
                <w:sz w:val="20"/>
                <w:szCs w:val="20"/>
              </w:rPr>
            </w:pPr>
            <w:r w:rsidRPr="005C212A">
              <w:rPr>
                <w:rFonts w:ascii="Times New Roman" w:hAnsi="Times New Roman"/>
                <w:sz w:val="20"/>
                <w:szCs w:val="20"/>
              </w:rPr>
              <w:t>Об увеличении уставного капитала Общества путем размещения дополнительных акций посредством открытой подписки.</w:t>
            </w:r>
          </w:p>
          <w:p w:rsidR="005C212A" w:rsidRPr="005C212A" w:rsidRDefault="005C212A" w:rsidP="005C212A">
            <w:pPr>
              <w:pStyle w:val="a3"/>
              <w:spacing w:line="276" w:lineRule="auto"/>
              <w:ind w:left="78" w:right="283"/>
              <w:jc w:val="both"/>
              <w:rPr>
                <w:rFonts w:ascii="Times New Roman" w:hAnsi="Times New Roman"/>
                <w:b/>
                <w:sz w:val="20"/>
                <w:szCs w:val="20"/>
                <w:u w:val="single"/>
              </w:rPr>
            </w:pPr>
            <w:r>
              <w:rPr>
                <w:rFonts w:ascii="Times New Roman" w:hAnsi="Times New Roman"/>
                <w:b/>
                <w:sz w:val="20"/>
                <w:szCs w:val="20"/>
                <w:u w:val="single"/>
              </w:rPr>
              <w:t>Вопрос № 3.</w:t>
            </w:r>
            <w:r w:rsidRPr="005C212A">
              <w:rPr>
                <w:rFonts w:ascii="Times New Roman" w:hAnsi="Times New Roman"/>
                <w:b/>
                <w:sz w:val="20"/>
                <w:szCs w:val="20"/>
                <w:u w:val="single"/>
              </w:rPr>
              <w:t xml:space="preserve"> </w:t>
            </w:r>
          </w:p>
          <w:p w:rsidR="005C212A" w:rsidRPr="005C212A" w:rsidRDefault="005C212A" w:rsidP="005C212A">
            <w:pPr>
              <w:pStyle w:val="a3"/>
              <w:spacing w:line="276" w:lineRule="auto"/>
              <w:ind w:left="78" w:right="283"/>
              <w:jc w:val="both"/>
              <w:rPr>
                <w:rFonts w:ascii="Times New Roman" w:hAnsi="Times New Roman"/>
                <w:sz w:val="20"/>
                <w:szCs w:val="20"/>
              </w:rPr>
            </w:pPr>
            <w:r w:rsidRPr="005C212A">
              <w:rPr>
                <w:rFonts w:ascii="Times New Roman" w:hAnsi="Times New Roman"/>
                <w:sz w:val="20"/>
                <w:szCs w:val="20"/>
              </w:rPr>
              <w:t>Об утверждении Устава Общества в новой редакции.</w:t>
            </w:r>
          </w:p>
          <w:p w:rsidR="005C212A" w:rsidRPr="008D1ECD" w:rsidRDefault="005C212A" w:rsidP="00924E5F">
            <w:pPr>
              <w:pStyle w:val="a3"/>
              <w:spacing w:line="276" w:lineRule="auto"/>
              <w:ind w:left="78" w:right="283"/>
              <w:jc w:val="both"/>
              <w:rPr>
                <w:rFonts w:ascii="Times New Roman" w:hAnsi="Times New Roman"/>
                <w:sz w:val="20"/>
                <w:szCs w:val="20"/>
              </w:rPr>
            </w:pPr>
          </w:p>
          <w:p w:rsidR="00D9212C"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w:t>
            </w:r>
            <w:r w:rsidR="003D0891" w:rsidRPr="008D1ECD">
              <w:rPr>
                <w:rFonts w:ascii="Times New Roman" w:hAnsi="Times New Roman"/>
                <w:sz w:val="20"/>
                <w:szCs w:val="20"/>
              </w:rPr>
              <w:t>7</w:t>
            </w:r>
            <w:r w:rsidRPr="008D1ECD">
              <w:rPr>
                <w:rFonts w:ascii="Times New Roman" w:hAnsi="Times New Roman"/>
                <w:sz w:val="20"/>
                <w:szCs w:val="20"/>
              </w:rPr>
              <w:t xml:space="preserve">. </w:t>
            </w:r>
            <w:r w:rsidR="00D0003B" w:rsidRPr="008D1ECD">
              <w:rPr>
                <w:rFonts w:ascii="Times New Roman" w:hAnsi="Times New Roman"/>
                <w:sz w:val="20"/>
                <w:szCs w:val="20"/>
              </w:rPr>
              <w:t xml:space="preserve">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 </w:t>
            </w:r>
          </w:p>
          <w:p w:rsidR="005C212A" w:rsidRPr="00D9212C" w:rsidRDefault="005C212A" w:rsidP="00924E5F">
            <w:pPr>
              <w:pStyle w:val="a3"/>
              <w:spacing w:line="276" w:lineRule="auto"/>
              <w:ind w:left="78" w:right="283"/>
              <w:jc w:val="both"/>
              <w:rPr>
                <w:rFonts w:ascii="Times New Roman" w:hAnsi="Times New Roman"/>
                <w:b/>
                <w:sz w:val="20"/>
                <w:szCs w:val="20"/>
              </w:rPr>
            </w:pPr>
            <w:r w:rsidRPr="005C212A">
              <w:rPr>
                <w:rFonts w:ascii="Times New Roman" w:hAnsi="Times New Roman"/>
                <w:b/>
                <w:sz w:val="20"/>
                <w:szCs w:val="20"/>
              </w:rPr>
              <w:t>С информацией (материалами), лица, имеющие право на участие во внеочередном общем собрании акционеров Общества, могут ознакомиться с 26 марта 2024 года до проведения внеочередного общего собрания акционеров в рабочие дни Общества с 09 часов 30 минут до 17 часов 30 минут по московскому времени по следующему адресу: Российская Федерация, 197110, г. Санкт-Петербург, улица Корпусная, д. 9, литер А</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2.8. 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w:t>
            </w:r>
            <w:r w:rsidRPr="008D1ECD">
              <w:rPr>
                <w:rFonts w:ascii="Times New Roman" w:hAnsi="Times New Roman"/>
                <w:sz w:val="20"/>
                <w:szCs w:val="20"/>
              </w:rPr>
              <w:t xml:space="preserve"> </w:t>
            </w:r>
            <w:r w:rsidRPr="008D1ECD">
              <w:rPr>
                <w:rFonts w:ascii="Times New Roman" w:hAnsi="Times New Roman"/>
                <w:b/>
                <w:sz w:val="20"/>
                <w:szCs w:val="20"/>
              </w:rPr>
              <w:t>акции обыкновенные именные бездокументарные</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государственный регистрационный номер выпуска: 1-02-09669-J</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дата государственной регистрации: 09.08.2004</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международный код (номер) идентификации ценных бумаг (ISIN) – RU000A0JR514</w:t>
            </w:r>
          </w:p>
          <w:p w:rsidR="003D0891"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2.9</w:t>
            </w:r>
            <w:r w:rsidR="0091270E" w:rsidRPr="008D1ECD">
              <w:rPr>
                <w:rFonts w:ascii="Times New Roman" w:hAnsi="Times New Roman"/>
                <w:sz w:val="20"/>
                <w:szCs w:val="20"/>
              </w:rPr>
              <w:t xml:space="preserve">. лицо 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w:t>
            </w:r>
            <w:r w:rsidR="0091270E" w:rsidRPr="008D1ECD">
              <w:rPr>
                <w:rFonts w:ascii="Times New Roman" w:hAnsi="Times New Roman"/>
                <w:sz w:val="20"/>
                <w:szCs w:val="20"/>
              </w:rPr>
              <w:lastRenderedPageBreak/>
              <w:t xml:space="preserve">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 </w:t>
            </w:r>
          </w:p>
          <w:p w:rsidR="0091270E" w:rsidRPr="00D9212C" w:rsidRDefault="0091270E" w:rsidP="00924E5F">
            <w:pPr>
              <w:pStyle w:val="a3"/>
              <w:spacing w:line="276" w:lineRule="auto"/>
              <w:ind w:left="78" w:right="283"/>
              <w:jc w:val="both"/>
              <w:rPr>
                <w:rFonts w:ascii="Times New Roman" w:hAnsi="Times New Roman"/>
                <w:b/>
                <w:sz w:val="20"/>
                <w:szCs w:val="20"/>
              </w:rPr>
            </w:pPr>
            <w:r w:rsidRPr="00D9212C">
              <w:rPr>
                <w:rFonts w:ascii="Times New Roman" w:hAnsi="Times New Roman"/>
                <w:b/>
                <w:sz w:val="20"/>
                <w:szCs w:val="20"/>
              </w:rPr>
              <w:t xml:space="preserve">заседание Совета </w:t>
            </w:r>
            <w:r w:rsidR="003D0891" w:rsidRPr="00D9212C">
              <w:rPr>
                <w:rFonts w:ascii="Times New Roman" w:hAnsi="Times New Roman"/>
                <w:b/>
                <w:sz w:val="20"/>
                <w:szCs w:val="20"/>
              </w:rPr>
              <w:t>д</w:t>
            </w:r>
            <w:r w:rsidR="003905DE">
              <w:rPr>
                <w:rFonts w:ascii="Times New Roman" w:hAnsi="Times New Roman"/>
                <w:b/>
                <w:sz w:val="20"/>
                <w:szCs w:val="20"/>
              </w:rPr>
              <w:t>иректоров</w:t>
            </w:r>
            <w:r w:rsidR="005C212A">
              <w:rPr>
                <w:rFonts w:ascii="Times New Roman" w:hAnsi="Times New Roman"/>
                <w:b/>
                <w:sz w:val="20"/>
                <w:szCs w:val="20"/>
              </w:rPr>
              <w:t xml:space="preserve"> ПАО «Фармсинтез» от 14</w:t>
            </w:r>
            <w:r w:rsidRPr="00D9212C">
              <w:rPr>
                <w:rFonts w:ascii="Times New Roman" w:hAnsi="Times New Roman"/>
                <w:b/>
                <w:sz w:val="20"/>
                <w:szCs w:val="20"/>
              </w:rPr>
              <w:t>.</w:t>
            </w:r>
            <w:r w:rsidR="003905DE">
              <w:rPr>
                <w:rFonts w:ascii="Times New Roman" w:hAnsi="Times New Roman"/>
                <w:b/>
                <w:sz w:val="20"/>
                <w:szCs w:val="20"/>
              </w:rPr>
              <w:t>0</w:t>
            </w:r>
            <w:r w:rsidR="005C212A">
              <w:rPr>
                <w:rFonts w:ascii="Times New Roman" w:hAnsi="Times New Roman"/>
                <w:b/>
                <w:sz w:val="20"/>
                <w:szCs w:val="20"/>
              </w:rPr>
              <w:t>3</w:t>
            </w:r>
            <w:r w:rsidRPr="00D9212C">
              <w:rPr>
                <w:rFonts w:ascii="Times New Roman" w:hAnsi="Times New Roman"/>
                <w:b/>
                <w:sz w:val="20"/>
                <w:szCs w:val="20"/>
              </w:rPr>
              <w:t>.202</w:t>
            </w:r>
            <w:r w:rsidR="003905DE">
              <w:rPr>
                <w:rFonts w:ascii="Times New Roman" w:hAnsi="Times New Roman"/>
                <w:b/>
                <w:sz w:val="20"/>
                <w:szCs w:val="20"/>
              </w:rPr>
              <w:t>4</w:t>
            </w:r>
            <w:r w:rsidRPr="00D9212C">
              <w:rPr>
                <w:rFonts w:ascii="Times New Roman" w:hAnsi="Times New Roman"/>
                <w:b/>
                <w:sz w:val="20"/>
                <w:szCs w:val="20"/>
              </w:rPr>
              <w:t xml:space="preserve">, протокол заседания Совета </w:t>
            </w:r>
            <w:r w:rsidR="003D0891" w:rsidRPr="00D9212C">
              <w:rPr>
                <w:rFonts w:ascii="Times New Roman" w:hAnsi="Times New Roman"/>
                <w:b/>
                <w:sz w:val="20"/>
                <w:szCs w:val="20"/>
              </w:rPr>
              <w:t>д</w:t>
            </w:r>
            <w:r w:rsidR="003905DE">
              <w:rPr>
                <w:rFonts w:ascii="Times New Roman" w:hAnsi="Times New Roman"/>
                <w:b/>
                <w:sz w:val="20"/>
                <w:szCs w:val="20"/>
              </w:rPr>
              <w:t xml:space="preserve">иректоров ПАО «Фармсинтез» от </w:t>
            </w:r>
            <w:r w:rsidR="005C212A">
              <w:rPr>
                <w:rFonts w:ascii="Times New Roman" w:hAnsi="Times New Roman"/>
                <w:b/>
                <w:sz w:val="20"/>
                <w:szCs w:val="20"/>
              </w:rPr>
              <w:t>14</w:t>
            </w:r>
            <w:r w:rsidR="005C212A" w:rsidRPr="00D9212C">
              <w:rPr>
                <w:rFonts w:ascii="Times New Roman" w:hAnsi="Times New Roman"/>
                <w:b/>
                <w:sz w:val="20"/>
                <w:szCs w:val="20"/>
              </w:rPr>
              <w:t>.</w:t>
            </w:r>
            <w:r w:rsidR="005C212A">
              <w:rPr>
                <w:rFonts w:ascii="Times New Roman" w:hAnsi="Times New Roman"/>
                <w:b/>
                <w:sz w:val="20"/>
                <w:szCs w:val="20"/>
              </w:rPr>
              <w:t>03</w:t>
            </w:r>
            <w:r w:rsidR="005C212A" w:rsidRPr="00D9212C">
              <w:rPr>
                <w:rFonts w:ascii="Times New Roman" w:hAnsi="Times New Roman"/>
                <w:b/>
                <w:sz w:val="20"/>
                <w:szCs w:val="20"/>
              </w:rPr>
              <w:t>.202</w:t>
            </w:r>
            <w:r w:rsidR="005C212A">
              <w:rPr>
                <w:rFonts w:ascii="Times New Roman" w:hAnsi="Times New Roman"/>
                <w:b/>
                <w:sz w:val="20"/>
                <w:szCs w:val="20"/>
              </w:rPr>
              <w:t>4</w:t>
            </w:r>
            <w:r w:rsidR="005C212A">
              <w:rPr>
                <w:rFonts w:ascii="Times New Roman" w:hAnsi="Times New Roman"/>
                <w:b/>
                <w:sz w:val="20"/>
                <w:szCs w:val="20"/>
              </w:rPr>
              <w:t xml:space="preserve"> </w:t>
            </w:r>
            <w:r w:rsidRPr="00D9212C">
              <w:rPr>
                <w:rFonts w:ascii="Times New Roman" w:hAnsi="Times New Roman"/>
                <w:b/>
                <w:sz w:val="20"/>
                <w:szCs w:val="20"/>
              </w:rPr>
              <w:t>года б/н</w:t>
            </w:r>
            <w:r w:rsidR="003D0891" w:rsidRPr="00D9212C">
              <w:rPr>
                <w:rFonts w:ascii="Times New Roman" w:hAnsi="Times New Roman"/>
                <w:b/>
                <w:sz w:val="20"/>
                <w:szCs w:val="20"/>
              </w:rPr>
              <w:t>.</w:t>
            </w:r>
            <w:r w:rsidRPr="00D9212C">
              <w:rPr>
                <w:rFonts w:ascii="Times New Roman" w:hAnsi="Times New Roman"/>
                <w:b/>
                <w:sz w:val="20"/>
                <w:szCs w:val="20"/>
              </w:rPr>
              <w:t xml:space="preserve"> </w:t>
            </w:r>
          </w:p>
          <w:p w:rsidR="00924E5F" w:rsidRPr="008D1ECD" w:rsidRDefault="0091270E" w:rsidP="003D0891">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2.1</w:t>
            </w:r>
            <w:r w:rsidR="003D0891" w:rsidRPr="008D1ECD">
              <w:rPr>
                <w:rFonts w:ascii="Times New Roman" w:hAnsi="Times New Roman"/>
                <w:sz w:val="20"/>
                <w:szCs w:val="20"/>
              </w:rPr>
              <w:t>0</w:t>
            </w:r>
            <w:r w:rsidRPr="008D1ECD">
              <w:rPr>
                <w:rFonts w:ascii="Times New Roman" w:hAnsi="Times New Roman"/>
                <w:sz w:val="20"/>
                <w:szCs w:val="20"/>
              </w:rPr>
              <w:t>. В случае если повестка дня общего собрания участников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в сообщении о существенном факте, дополнительно должны быть указаны сведения об указанных обстоятельствах: повестка дня общего собрания акционеров содержит вопрос, принятие решения по которому может повлечь предоставление преимущественного права приобретения размещаемых эмитентом дополнительных обыкновенных акций. Порядок определения цены размещения дополнительных обыкновенных акций (в том числе при осуществлении преимущественного права приобретения размещаемых дополнительных акций) будет установлен решением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tc>
      </w:tr>
    </w:tbl>
    <w:p w:rsidR="005C589D" w:rsidRPr="008D1ECD" w:rsidRDefault="005C589D" w:rsidP="005C589D"/>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8D1ECD"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8D1ECD" w:rsidRDefault="005C589D" w:rsidP="00751062">
            <w:pPr>
              <w:jc w:val="center"/>
            </w:pPr>
            <w:r w:rsidRPr="008D1ECD">
              <w:t>3. Подпись</w:t>
            </w:r>
          </w:p>
        </w:tc>
      </w:tr>
      <w:tr w:rsidR="005C589D" w:rsidRPr="008D1ECD" w:rsidTr="00751062">
        <w:tc>
          <w:tcPr>
            <w:tcW w:w="4706" w:type="dxa"/>
            <w:gridSpan w:val="8"/>
            <w:tcBorders>
              <w:top w:val="single" w:sz="4" w:space="0" w:color="auto"/>
              <w:left w:val="single" w:sz="4" w:space="0" w:color="auto"/>
              <w:bottom w:val="nil"/>
              <w:right w:val="nil"/>
            </w:tcBorders>
            <w:vAlign w:val="bottom"/>
          </w:tcPr>
          <w:p w:rsidR="005C589D" w:rsidRPr="008D1ECD" w:rsidRDefault="005C589D" w:rsidP="00751062">
            <w:pPr>
              <w:ind w:left="57"/>
            </w:pPr>
            <w:r w:rsidRPr="008D1ECD">
              <w:t>3.1. Генеральный директор</w:t>
            </w:r>
          </w:p>
        </w:tc>
        <w:tc>
          <w:tcPr>
            <w:tcW w:w="1701" w:type="dxa"/>
            <w:tcBorders>
              <w:top w:val="nil"/>
              <w:left w:val="nil"/>
              <w:bottom w:val="single" w:sz="4" w:space="0" w:color="auto"/>
              <w:right w:val="nil"/>
            </w:tcBorders>
            <w:vAlign w:val="bottom"/>
          </w:tcPr>
          <w:p w:rsidR="005C589D" w:rsidRPr="008D1ECD" w:rsidRDefault="005C589D" w:rsidP="00751062">
            <w:pPr>
              <w:jc w:val="center"/>
            </w:pPr>
            <w:r w:rsidRPr="008D1ECD">
              <w:t>подпись</w:t>
            </w:r>
          </w:p>
        </w:tc>
        <w:tc>
          <w:tcPr>
            <w:tcW w:w="907" w:type="dxa"/>
            <w:tcBorders>
              <w:top w:val="nil"/>
              <w:left w:val="nil"/>
              <w:bottom w:val="nil"/>
              <w:right w:val="nil"/>
            </w:tcBorders>
            <w:vAlign w:val="bottom"/>
          </w:tcPr>
          <w:p w:rsidR="005C589D" w:rsidRPr="008D1ECD" w:rsidRDefault="005C589D" w:rsidP="00751062"/>
        </w:tc>
        <w:tc>
          <w:tcPr>
            <w:tcW w:w="2552" w:type="dxa"/>
            <w:tcBorders>
              <w:top w:val="nil"/>
              <w:left w:val="nil"/>
              <w:bottom w:val="nil"/>
              <w:right w:val="nil"/>
            </w:tcBorders>
            <w:vAlign w:val="bottom"/>
          </w:tcPr>
          <w:p w:rsidR="005C589D" w:rsidRPr="008D1ECD" w:rsidRDefault="005C589D" w:rsidP="00751062">
            <w:pPr>
              <w:jc w:val="center"/>
            </w:pPr>
            <w:r w:rsidRPr="008D1ECD">
              <w:t>Е.А. Прилежаев</w:t>
            </w:r>
          </w:p>
        </w:tc>
        <w:tc>
          <w:tcPr>
            <w:tcW w:w="113" w:type="dxa"/>
            <w:tcBorders>
              <w:top w:val="single" w:sz="4" w:space="0" w:color="auto"/>
              <w:left w:val="nil"/>
              <w:bottom w:val="nil"/>
              <w:right w:val="single" w:sz="4" w:space="0" w:color="auto"/>
            </w:tcBorders>
            <w:vAlign w:val="bottom"/>
          </w:tcPr>
          <w:p w:rsidR="005C589D" w:rsidRPr="008D1ECD" w:rsidRDefault="005C589D" w:rsidP="00751062"/>
        </w:tc>
      </w:tr>
      <w:tr w:rsidR="005C589D" w:rsidRPr="008D1ECD" w:rsidTr="00751062">
        <w:tc>
          <w:tcPr>
            <w:tcW w:w="4706" w:type="dxa"/>
            <w:gridSpan w:val="8"/>
            <w:tcBorders>
              <w:top w:val="nil"/>
              <w:left w:val="single" w:sz="4" w:space="0" w:color="auto"/>
              <w:bottom w:val="nil"/>
              <w:right w:val="nil"/>
            </w:tcBorders>
          </w:tcPr>
          <w:p w:rsidR="005C589D" w:rsidRPr="008D1ECD" w:rsidRDefault="005C589D" w:rsidP="00751062">
            <w:pPr>
              <w:ind w:left="57"/>
            </w:pPr>
          </w:p>
        </w:tc>
        <w:tc>
          <w:tcPr>
            <w:tcW w:w="1701" w:type="dxa"/>
            <w:tcBorders>
              <w:top w:val="nil"/>
              <w:left w:val="nil"/>
              <w:bottom w:val="nil"/>
              <w:right w:val="nil"/>
            </w:tcBorders>
          </w:tcPr>
          <w:p w:rsidR="005C589D" w:rsidRPr="008D1ECD" w:rsidRDefault="005C589D" w:rsidP="00751062">
            <w:pPr>
              <w:jc w:val="center"/>
            </w:pPr>
          </w:p>
        </w:tc>
        <w:tc>
          <w:tcPr>
            <w:tcW w:w="907" w:type="dxa"/>
            <w:tcBorders>
              <w:top w:val="nil"/>
              <w:left w:val="nil"/>
              <w:bottom w:val="nil"/>
              <w:right w:val="nil"/>
            </w:tcBorders>
          </w:tcPr>
          <w:p w:rsidR="005C589D" w:rsidRPr="008D1ECD" w:rsidRDefault="005C589D" w:rsidP="00751062"/>
        </w:tc>
        <w:tc>
          <w:tcPr>
            <w:tcW w:w="2552" w:type="dxa"/>
            <w:tcBorders>
              <w:top w:val="nil"/>
              <w:left w:val="nil"/>
              <w:bottom w:val="nil"/>
              <w:right w:val="nil"/>
            </w:tcBorders>
          </w:tcPr>
          <w:p w:rsidR="005C589D" w:rsidRPr="008D1ECD" w:rsidRDefault="005C589D" w:rsidP="00751062">
            <w:pPr>
              <w:jc w:val="center"/>
            </w:pPr>
          </w:p>
        </w:tc>
        <w:tc>
          <w:tcPr>
            <w:tcW w:w="113" w:type="dxa"/>
            <w:tcBorders>
              <w:top w:val="nil"/>
              <w:left w:val="nil"/>
              <w:bottom w:val="nil"/>
              <w:right w:val="single" w:sz="4" w:space="0" w:color="auto"/>
            </w:tcBorders>
          </w:tcPr>
          <w:p w:rsidR="005C589D" w:rsidRPr="008D1ECD" w:rsidRDefault="005C589D" w:rsidP="00751062"/>
        </w:tc>
      </w:tr>
      <w:tr w:rsidR="005C589D" w:rsidRPr="00C84D40" w:rsidTr="00751062">
        <w:tc>
          <w:tcPr>
            <w:tcW w:w="1077" w:type="dxa"/>
            <w:tcBorders>
              <w:top w:val="nil"/>
              <w:left w:val="single" w:sz="4" w:space="0" w:color="auto"/>
              <w:bottom w:val="nil"/>
              <w:right w:val="nil"/>
            </w:tcBorders>
            <w:vAlign w:val="bottom"/>
          </w:tcPr>
          <w:p w:rsidR="005C589D" w:rsidRPr="008D1ECD" w:rsidRDefault="005C589D" w:rsidP="00751062">
            <w:pPr>
              <w:spacing w:before="240"/>
              <w:ind w:left="57"/>
            </w:pPr>
            <w:r w:rsidRPr="008D1ECD">
              <w:t>3.2. Дата</w:t>
            </w:r>
          </w:p>
        </w:tc>
        <w:tc>
          <w:tcPr>
            <w:tcW w:w="198" w:type="dxa"/>
            <w:tcBorders>
              <w:top w:val="nil"/>
              <w:left w:val="nil"/>
              <w:bottom w:val="nil"/>
              <w:right w:val="nil"/>
            </w:tcBorders>
            <w:vAlign w:val="bottom"/>
          </w:tcPr>
          <w:p w:rsidR="005C589D" w:rsidRPr="008D1ECD" w:rsidRDefault="005C589D" w:rsidP="00751062">
            <w:pPr>
              <w:jc w:val="right"/>
            </w:pPr>
            <w:r w:rsidRPr="008D1ECD">
              <w:t>«</w:t>
            </w:r>
          </w:p>
        </w:tc>
        <w:tc>
          <w:tcPr>
            <w:tcW w:w="397" w:type="dxa"/>
            <w:tcBorders>
              <w:top w:val="nil"/>
              <w:left w:val="nil"/>
              <w:bottom w:val="single" w:sz="4" w:space="0" w:color="auto"/>
              <w:right w:val="nil"/>
            </w:tcBorders>
            <w:vAlign w:val="bottom"/>
          </w:tcPr>
          <w:p w:rsidR="005C589D" w:rsidRPr="003905DE" w:rsidRDefault="005C212A" w:rsidP="003D0891">
            <w:pPr>
              <w:jc w:val="center"/>
            </w:pPr>
            <w:r>
              <w:t>14</w:t>
            </w:r>
          </w:p>
        </w:tc>
        <w:tc>
          <w:tcPr>
            <w:tcW w:w="255" w:type="dxa"/>
            <w:tcBorders>
              <w:top w:val="nil"/>
              <w:left w:val="nil"/>
              <w:bottom w:val="nil"/>
              <w:right w:val="nil"/>
            </w:tcBorders>
            <w:vAlign w:val="bottom"/>
          </w:tcPr>
          <w:p w:rsidR="005C589D" w:rsidRPr="008D1ECD" w:rsidRDefault="005C589D" w:rsidP="00751062">
            <w:r w:rsidRPr="008D1ECD">
              <w:t>»</w:t>
            </w:r>
          </w:p>
        </w:tc>
        <w:tc>
          <w:tcPr>
            <w:tcW w:w="1474" w:type="dxa"/>
            <w:tcBorders>
              <w:top w:val="nil"/>
              <w:left w:val="nil"/>
              <w:bottom w:val="single" w:sz="4" w:space="0" w:color="auto"/>
              <w:right w:val="nil"/>
            </w:tcBorders>
            <w:vAlign w:val="bottom"/>
          </w:tcPr>
          <w:p w:rsidR="005C589D" w:rsidRPr="008D1ECD" w:rsidRDefault="005C212A" w:rsidP="00FA5629">
            <w:pPr>
              <w:jc w:val="center"/>
            </w:pPr>
            <w:r>
              <w:t>марта</w:t>
            </w:r>
          </w:p>
        </w:tc>
        <w:tc>
          <w:tcPr>
            <w:tcW w:w="397" w:type="dxa"/>
            <w:tcBorders>
              <w:top w:val="nil"/>
              <w:left w:val="nil"/>
              <w:bottom w:val="nil"/>
              <w:right w:val="nil"/>
            </w:tcBorders>
            <w:vAlign w:val="bottom"/>
          </w:tcPr>
          <w:p w:rsidR="005C589D" w:rsidRPr="008D1ECD" w:rsidRDefault="005C589D" w:rsidP="00751062">
            <w:pPr>
              <w:jc w:val="right"/>
            </w:pPr>
            <w:r w:rsidRPr="008D1ECD">
              <w:t>20</w:t>
            </w:r>
          </w:p>
        </w:tc>
        <w:tc>
          <w:tcPr>
            <w:tcW w:w="369" w:type="dxa"/>
            <w:tcBorders>
              <w:top w:val="nil"/>
              <w:left w:val="nil"/>
              <w:bottom w:val="single" w:sz="4" w:space="0" w:color="auto"/>
              <w:right w:val="nil"/>
            </w:tcBorders>
            <w:vAlign w:val="bottom"/>
          </w:tcPr>
          <w:p w:rsidR="005C589D" w:rsidRPr="008D1ECD" w:rsidRDefault="005C589D" w:rsidP="00BC6B40">
            <w:r w:rsidRPr="008D1ECD">
              <w:t>2</w:t>
            </w:r>
            <w:r w:rsidR="003905DE">
              <w:t>4</w:t>
            </w:r>
          </w:p>
        </w:tc>
        <w:tc>
          <w:tcPr>
            <w:tcW w:w="539" w:type="dxa"/>
            <w:tcBorders>
              <w:top w:val="nil"/>
              <w:left w:val="nil"/>
              <w:bottom w:val="nil"/>
              <w:right w:val="nil"/>
            </w:tcBorders>
            <w:vAlign w:val="bottom"/>
          </w:tcPr>
          <w:p w:rsidR="005C589D" w:rsidRPr="008D1ECD" w:rsidRDefault="005C589D" w:rsidP="00751062">
            <w:pPr>
              <w:ind w:left="57"/>
            </w:pPr>
            <w:r w:rsidRPr="008D1ECD">
              <w:t>г.</w:t>
            </w:r>
          </w:p>
        </w:tc>
        <w:tc>
          <w:tcPr>
            <w:tcW w:w="1701" w:type="dxa"/>
            <w:tcBorders>
              <w:top w:val="nil"/>
              <w:left w:val="nil"/>
              <w:bottom w:val="nil"/>
              <w:right w:val="nil"/>
            </w:tcBorders>
            <w:vAlign w:val="bottom"/>
          </w:tcPr>
          <w:p w:rsidR="005C589D" w:rsidRPr="00CD2CF7" w:rsidRDefault="005C589D" w:rsidP="00751062">
            <w:pPr>
              <w:jc w:val="center"/>
            </w:pPr>
            <w:r w:rsidRPr="008D1ECD">
              <w:t>М.П.</w:t>
            </w:r>
          </w:p>
        </w:tc>
        <w:tc>
          <w:tcPr>
            <w:tcW w:w="3572" w:type="dxa"/>
            <w:gridSpan w:val="3"/>
            <w:tcBorders>
              <w:top w:val="nil"/>
              <w:left w:val="nil"/>
              <w:bottom w:val="nil"/>
              <w:right w:val="single" w:sz="4" w:space="0" w:color="auto"/>
            </w:tcBorders>
            <w:vAlign w:val="bottom"/>
          </w:tcPr>
          <w:p w:rsidR="005C589D" w:rsidRPr="00C84D40" w:rsidRDefault="005C589D" w:rsidP="00751062"/>
        </w:tc>
      </w:tr>
      <w:tr w:rsidR="005C589D" w:rsidRPr="00C84D40" w:rsidTr="00751062">
        <w:tc>
          <w:tcPr>
            <w:tcW w:w="9979" w:type="dxa"/>
            <w:gridSpan w:val="12"/>
            <w:tcBorders>
              <w:top w:val="nil"/>
              <w:left w:val="single" w:sz="4" w:space="0" w:color="auto"/>
              <w:bottom w:val="single" w:sz="4" w:space="0" w:color="auto"/>
              <w:right w:val="single" w:sz="4" w:space="0" w:color="auto"/>
            </w:tcBorders>
          </w:tcPr>
          <w:p w:rsidR="005C589D" w:rsidRPr="00C84D40" w:rsidRDefault="005C589D" w:rsidP="00751062"/>
        </w:tc>
      </w:tr>
    </w:tbl>
    <w:p w:rsidR="005C589D" w:rsidRPr="00C84D40" w:rsidRDefault="005C589D" w:rsidP="005C589D"/>
    <w:p w:rsidR="000C5322" w:rsidRDefault="000C5322"/>
    <w:sectPr w:rsidR="000C5322"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C1697"/>
    <w:rsid w:val="000C5322"/>
    <w:rsid w:val="000E7F45"/>
    <w:rsid w:val="00107F42"/>
    <w:rsid w:val="001A4FCD"/>
    <w:rsid w:val="0022365A"/>
    <w:rsid w:val="002B4D4A"/>
    <w:rsid w:val="002D5F36"/>
    <w:rsid w:val="002F0584"/>
    <w:rsid w:val="003905DE"/>
    <w:rsid w:val="003A5BA9"/>
    <w:rsid w:val="003D0891"/>
    <w:rsid w:val="00406E64"/>
    <w:rsid w:val="00490408"/>
    <w:rsid w:val="00497AB2"/>
    <w:rsid w:val="004E079C"/>
    <w:rsid w:val="004F10D8"/>
    <w:rsid w:val="00544823"/>
    <w:rsid w:val="00561ED1"/>
    <w:rsid w:val="005B7D36"/>
    <w:rsid w:val="005C212A"/>
    <w:rsid w:val="005C589D"/>
    <w:rsid w:val="00621DFF"/>
    <w:rsid w:val="00626785"/>
    <w:rsid w:val="006279A5"/>
    <w:rsid w:val="006431D0"/>
    <w:rsid w:val="006652B3"/>
    <w:rsid w:val="00683C03"/>
    <w:rsid w:val="006D7451"/>
    <w:rsid w:val="006F11B4"/>
    <w:rsid w:val="00704A18"/>
    <w:rsid w:val="00705F52"/>
    <w:rsid w:val="00751062"/>
    <w:rsid w:val="008D052A"/>
    <w:rsid w:val="008D1ECD"/>
    <w:rsid w:val="0091270E"/>
    <w:rsid w:val="00924E5F"/>
    <w:rsid w:val="00941E62"/>
    <w:rsid w:val="00994761"/>
    <w:rsid w:val="009A63AA"/>
    <w:rsid w:val="009D2465"/>
    <w:rsid w:val="009E1F4A"/>
    <w:rsid w:val="00B00901"/>
    <w:rsid w:val="00B10831"/>
    <w:rsid w:val="00B124A0"/>
    <w:rsid w:val="00B5698A"/>
    <w:rsid w:val="00B9081A"/>
    <w:rsid w:val="00BC6B40"/>
    <w:rsid w:val="00BD13E0"/>
    <w:rsid w:val="00C325B6"/>
    <w:rsid w:val="00C67225"/>
    <w:rsid w:val="00C75528"/>
    <w:rsid w:val="00CD068F"/>
    <w:rsid w:val="00D0003B"/>
    <w:rsid w:val="00D66544"/>
    <w:rsid w:val="00D9212C"/>
    <w:rsid w:val="00DC2847"/>
    <w:rsid w:val="00E136B7"/>
    <w:rsid w:val="00E50BB2"/>
    <w:rsid w:val="00ED3E92"/>
    <w:rsid w:val="00F77646"/>
    <w:rsid w:val="00F900DE"/>
    <w:rsid w:val="00FA5629"/>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DE5B"/>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customStyle="1" w:styleId="FontStyle20">
    <w:name w:val="Font Style20"/>
    <w:uiPriority w:val="99"/>
    <w:rsid w:val="00924E5F"/>
    <w:rPr>
      <w:rFonts w:ascii="Times New Roman" w:hAnsi="Times New Roman" w:cs="Times New Roman" w:hint="default"/>
      <w:sz w:val="22"/>
      <w:szCs w:val="22"/>
    </w:rPr>
  </w:style>
  <w:style w:type="paragraph" w:styleId="a4">
    <w:name w:val="Balloon Text"/>
    <w:basedOn w:val="a"/>
    <w:link w:val="a5"/>
    <w:uiPriority w:val="99"/>
    <w:semiHidden/>
    <w:unhideWhenUsed/>
    <w:rsid w:val="006F11B4"/>
    <w:rPr>
      <w:rFonts w:ascii="Segoe UI" w:hAnsi="Segoe UI" w:cs="Segoe UI"/>
      <w:sz w:val="18"/>
      <w:szCs w:val="18"/>
    </w:rPr>
  </w:style>
  <w:style w:type="character" w:customStyle="1" w:styleId="a5">
    <w:name w:val="Текст выноски Знак"/>
    <w:basedOn w:val="a0"/>
    <w:link w:val="a4"/>
    <w:uiPriority w:val="99"/>
    <w:semiHidden/>
    <w:rsid w:val="006F11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3605-A60A-424C-8816-AFBA58C9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14</cp:revision>
  <cp:lastPrinted>2023-11-20T08:42:00Z</cp:lastPrinted>
  <dcterms:created xsi:type="dcterms:W3CDTF">2023-11-16T12:49:00Z</dcterms:created>
  <dcterms:modified xsi:type="dcterms:W3CDTF">2024-03-14T12:52:00Z</dcterms:modified>
</cp:coreProperties>
</file>