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8D1ECD" w:rsidRDefault="005C589D" w:rsidP="005C589D">
      <w:pPr>
        <w:tabs>
          <w:tab w:val="left" w:pos="4253"/>
        </w:tabs>
        <w:jc w:val="center"/>
        <w:rPr>
          <w:b/>
          <w:bCs/>
        </w:rPr>
      </w:pPr>
      <w:r w:rsidRPr="008D1ECD">
        <w:rPr>
          <w:b/>
          <w:bCs/>
        </w:rPr>
        <w:t xml:space="preserve">Сообщение о существенном факте </w:t>
      </w:r>
    </w:p>
    <w:p w:rsidR="005C589D" w:rsidRPr="008D1ECD" w:rsidRDefault="005C589D" w:rsidP="005C589D">
      <w:pPr>
        <w:jc w:val="center"/>
        <w:rPr>
          <w:b/>
          <w:bCs/>
        </w:rPr>
      </w:pPr>
      <w:r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3905DE" w:rsidP="003905DE">
            <w:pPr>
              <w:ind w:left="57" w:right="57"/>
              <w:jc w:val="both"/>
            </w:pPr>
            <w:r>
              <w:t>06</w:t>
            </w:r>
            <w:r w:rsidR="00CD068F" w:rsidRPr="008D1ECD">
              <w:t>.</w:t>
            </w:r>
            <w:r>
              <w:t>02</w:t>
            </w:r>
            <w:r w:rsidR="00CD068F" w:rsidRPr="008D1ECD">
              <w:t>.202</w:t>
            </w:r>
            <w:r>
              <w:t>4</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2.1. вид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В</w:t>
            </w:r>
            <w:r w:rsidR="0091270E" w:rsidRPr="008D1ECD">
              <w:rPr>
                <w:rFonts w:ascii="Times New Roman" w:hAnsi="Times New Roman"/>
                <w:b/>
                <w:sz w:val="20"/>
                <w:szCs w:val="20"/>
              </w:rPr>
              <w:t>неочередное общее собрание акционеров</w:t>
            </w:r>
            <w:r w:rsidR="00561ED1" w:rsidRPr="008D1ECD">
              <w:rPr>
                <w:rFonts w:ascii="Times New Roman" w:hAnsi="Times New Roman"/>
                <w:b/>
                <w:sz w:val="20"/>
                <w:szCs w:val="20"/>
              </w:rPr>
              <w:t>;</w:t>
            </w:r>
          </w:p>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2.2. форма проведения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З</w:t>
            </w:r>
            <w:r w:rsidR="0091270E" w:rsidRPr="008D1ECD">
              <w:rPr>
                <w:rFonts w:ascii="Times New Roman" w:hAnsi="Times New Roman"/>
                <w:b/>
                <w:sz w:val="20"/>
                <w:szCs w:val="20"/>
              </w:rPr>
              <w:t>аочное голосование</w:t>
            </w:r>
            <w:r w:rsidR="00561ED1" w:rsidRPr="008D1ECD">
              <w:rPr>
                <w:rFonts w:ascii="Times New Roman" w:hAnsi="Times New Roman"/>
                <w:sz w:val="20"/>
                <w:szCs w:val="20"/>
              </w:rPr>
              <w:t>;</w:t>
            </w:r>
          </w:p>
          <w:p w:rsidR="00F900DE" w:rsidRDefault="0091270E" w:rsidP="00490408">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Дата проведения внеочередного общего собрани</w:t>
            </w:r>
            <w:r w:rsidR="003905DE">
              <w:rPr>
                <w:rFonts w:ascii="Times New Roman" w:hAnsi="Times New Roman"/>
                <w:b/>
                <w:sz w:val="20"/>
                <w:szCs w:val="20"/>
              </w:rPr>
              <w:t>я акционеров ПАО «Фармсинтез»: 12</w:t>
            </w:r>
            <w:r w:rsidRPr="008D1ECD">
              <w:rPr>
                <w:rFonts w:ascii="Times New Roman" w:hAnsi="Times New Roman"/>
                <w:b/>
                <w:sz w:val="20"/>
                <w:szCs w:val="20"/>
              </w:rPr>
              <w:t xml:space="preserve"> </w:t>
            </w:r>
            <w:r w:rsidR="003905DE">
              <w:rPr>
                <w:rFonts w:ascii="Times New Roman" w:hAnsi="Times New Roman"/>
                <w:b/>
                <w:sz w:val="20"/>
                <w:szCs w:val="20"/>
              </w:rPr>
              <w:t>марта</w:t>
            </w:r>
            <w:r w:rsidRPr="008D1ECD">
              <w:rPr>
                <w:rFonts w:ascii="Times New Roman" w:hAnsi="Times New Roman"/>
                <w:b/>
                <w:sz w:val="20"/>
                <w:szCs w:val="20"/>
              </w:rPr>
              <w:t xml:space="preserve"> 202</w:t>
            </w:r>
            <w:r w:rsidR="003905DE">
              <w:rPr>
                <w:rFonts w:ascii="Times New Roman" w:hAnsi="Times New Roman"/>
                <w:b/>
                <w:sz w:val="20"/>
                <w:szCs w:val="20"/>
              </w:rPr>
              <w:t>4</w:t>
            </w:r>
            <w:r w:rsidRPr="008D1ECD">
              <w:rPr>
                <w:rFonts w:ascii="Times New Roman" w:hAnsi="Times New Roman"/>
                <w:b/>
                <w:sz w:val="20"/>
                <w:szCs w:val="20"/>
              </w:rPr>
              <w:t xml:space="preserve"> г.</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 Российская Федерация, 188663, Ленинградская обл., Всеволожский муниципальный район, </w:t>
            </w:r>
            <w:proofErr w:type="spellStart"/>
            <w:r w:rsidRPr="008D1ECD">
              <w:rPr>
                <w:rFonts w:ascii="Times New Roman" w:hAnsi="Times New Roman"/>
                <w:b/>
                <w:sz w:val="20"/>
                <w:szCs w:val="20"/>
              </w:rPr>
              <w:t>Кузьмоловское</w:t>
            </w:r>
            <w:proofErr w:type="spellEnd"/>
            <w:r w:rsidRPr="008D1ECD">
              <w:rPr>
                <w:rFonts w:ascii="Times New Roman" w:hAnsi="Times New Roman"/>
                <w:b/>
                <w:sz w:val="20"/>
                <w:szCs w:val="20"/>
              </w:rPr>
              <w:t xml:space="preserve"> городское поселение, </w:t>
            </w:r>
            <w:proofErr w:type="spellStart"/>
            <w:r w:rsidRPr="008D1ECD">
              <w:rPr>
                <w:rFonts w:ascii="Times New Roman" w:hAnsi="Times New Roman"/>
                <w:b/>
                <w:sz w:val="20"/>
                <w:szCs w:val="20"/>
              </w:rPr>
              <w:t>гп</w:t>
            </w:r>
            <w:proofErr w:type="spellEnd"/>
            <w:r w:rsidRPr="008D1ECD">
              <w:rPr>
                <w:rFonts w:ascii="Times New Roman" w:hAnsi="Times New Roman"/>
                <w:b/>
                <w:sz w:val="20"/>
                <w:szCs w:val="20"/>
              </w:rPr>
              <w:t xml:space="preserve">. </w:t>
            </w:r>
            <w:proofErr w:type="spellStart"/>
            <w:r w:rsidRPr="008D1ECD">
              <w:rPr>
                <w:rFonts w:ascii="Times New Roman" w:hAnsi="Times New Roman"/>
                <w:b/>
                <w:sz w:val="20"/>
                <w:szCs w:val="20"/>
              </w:rPr>
              <w:t>Кузьмоловский</w:t>
            </w:r>
            <w:proofErr w:type="spellEnd"/>
            <w:r w:rsidRPr="008D1ECD">
              <w:rPr>
                <w:rFonts w:ascii="Times New Roman" w:hAnsi="Times New Roman"/>
                <w:b/>
                <w:sz w:val="20"/>
                <w:szCs w:val="20"/>
              </w:rPr>
              <w:t xml:space="preserve">, ул. Заводская, здание 3, корпус 134, ПАО «Фармсинтез». </w:t>
            </w:r>
          </w:p>
          <w:p w:rsidR="004E079C" w:rsidRPr="008D1ECD" w:rsidRDefault="004E079C" w:rsidP="004E079C">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не позднее </w:t>
            </w:r>
            <w:r w:rsidR="003905DE">
              <w:rPr>
                <w:rFonts w:ascii="Times New Roman" w:hAnsi="Times New Roman"/>
                <w:b/>
                <w:sz w:val="20"/>
                <w:szCs w:val="20"/>
              </w:rPr>
              <w:t>12</w:t>
            </w:r>
            <w:r w:rsidR="003905DE" w:rsidRPr="008D1ECD">
              <w:rPr>
                <w:rFonts w:ascii="Times New Roman" w:hAnsi="Times New Roman"/>
                <w:b/>
                <w:sz w:val="20"/>
                <w:szCs w:val="20"/>
              </w:rPr>
              <w:t xml:space="preserve"> </w:t>
            </w:r>
            <w:r w:rsidR="003905DE">
              <w:rPr>
                <w:rFonts w:ascii="Times New Roman" w:hAnsi="Times New Roman"/>
                <w:b/>
                <w:sz w:val="20"/>
                <w:szCs w:val="20"/>
              </w:rPr>
              <w:t>марта</w:t>
            </w:r>
            <w:r w:rsidR="003905DE" w:rsidRPr="008D1ECD">
              <w:rPr>
                <w:rFonts w:ascii="Times New Roman" w:hAnsi="Times New Roman"/>
                <w:b/>
                <w:sz w:val="20"/>
                <w:szCs w:val="20"/>
              </w:rPr>
              <w:t xml:space="preserve"> 202</w:t>
            </w:r>
            <w:r w:rsidR="003905DE">
              <w:rPr>
                <w:rFonts w:ascii="Times New Roman" w:hAnsi="Times New Roman"/>
                <w:b/>
                <w:sz w:val="20"/>
                <w:szCs w:val="20"/>
              </w:rPr>
              <w:t>4</w:t>
            </w:r>
            <w:r w:rsidR="003905DE" w:rsidRPr="008D1ECD">
              <w:rPr>
                <w:rFonts w:ascii="Times New Roman" w:hAnsi="Times New Roman"/>
                <w:b/>
                <w:sz w:val="20"/>
                <w:szCs w:val="20"/>
              </w:rPr>
              <w:t xml:space="preserve"> </w:t>
            </w:r>
            <w:r w:rsidRPr="008D1ECD">
              <w:rPr>
                <w:rFonts w:ascii="Times New Roman" w:hAnsi="Times New Roman"/>
                <w:b/>
                <w:sz w:val="20"/>
                <w:szCs w:val="20"/>
              </w:rPr>
              <w:t>года.</w:t>
            </w:r>
          </w:p>
          <w:p w:rsidR="0091270E"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2.5</w:t>
            </w:r>
            <w:r w:rsidR="0091270E" w:rsidRPr="008D1ECD">
              <w:rPr>
                <w:rFonts w:ascii="Times New Roman" w:hAnsi="Times New Roman"/>
                <w:sz w:val="20"/>
                <w:szCs w:val="20"/>
              </w:rPr>
              <w:t xml:space="preserve">. дата, на которую определяются (фиксируются) лица, имеющие право на участие в общем собрании участников (акционеров) эмитента: </w:t>
            </w:r>
            <w:r w:rsidR="003905DE" w:rsidRPr="003905DE">
              <w:rPr>
                <w:rFonts w:ascii="Times New Roman" w:hAnsi="Times New Roman"/>
                <w:b/>
                <w:sz w:val="20"/>
                <w:szCs w:val="20"/>
              </w:rPr>
              <w:t>18</w:t>
            </w:r>
            <w:r w:rsidR="0091270E" w:rsidRPr="00D9212C">
              <w:rPr>
                <w:rFonts w:ascii="Times New Roman" w:hAnsi="Times New Roman"/>
                <w:b/>
                <w:sz w:val="20"/>
                <w:szCs w:val="20"/>
              </w:rPr>
              <w:t xml:space="preserve"> </w:t>
            </w:r>
            <w:r w:rsidR="003905DE">
              <w:rPr>
                <w:rFonts w:ascii="Times New Roman" w:hAnsi="Times New Roman"/>
                <w:b/>
                <w:sz w:val="20"/>
                <w:szCs w:val="20"/>
              </w:rPr>
              <w:t>февраля</w:t>
            </w:r>
            <w:r w:rsidR="0091270E" w:rsidRPr="00D9212C">
              <w:rPr>
                <w:rFonts w:ascii="Times New Roman" w:hAnsi="Times New Roman"/>
                <w:b/>
                <w:sz w:val="20"/>
                <w:szCs w:val="20"/>
              </w:rPr>
              <w:t xml:space="preserve"> 202</w:t>
            </w:r>
            <w:r w:rsidR="003905DE">
              <w:rPr>
                <w:rFonts w:ascii="Times New Roman" w:hAnsi="Times New Roman"/>
                <w:b/>
                <w:sz w:val="20"/>
                <w:szCs w:val="20"/>
              </w:rPr>
              <w:t>4</w:t>
            </w:r>
            <w:r w:rsidR="0091270E" w:rsidRPr="00D9212C">
              <w:rPr>
                <w:rFonts w:ascii="Times New Roman" w:hAnsi="Times New Roman"/>
                <w:b/>
                <w:sz w:val="20"/>
                <w:szCs w:val="20"/>
              </w:rPr>
              <w:t xml:space="preserve"> года;</w:t>
            </w:r>
            <w:r w:rsidR="0091270E" w:rsidRPr="008D1ECD">
              <w:rPr>
                <w:rFonts w:ascii="Times New Roman" w:hAnsi="Times New Roman"/>
                <w:sz w:val="20"/>
                <w:szCs w:val="20"/>
              </w:rPr>
              <w:t xml:space="preserve"> </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2.6</w:t>
            </w:r>
            <w:r w:rsidR="0091270E" w:rsidRPr="008D1ECD">
              <w:rPr>
                <w:rFonts w:ascii="Times New Roman" w:hAnsi="Times New Roman"/>
                <w:sz w:val="20"/>
                <w:szCs w:val="20"/>
              </w:rPr>
              <w:t xml:space="preserve">. повестка дня общего собрания участников (акционеров) эмитента; </w:t>
            </w:r>
          </w:p>
          <w:p w:rsidR="003D0891" w:rsidRPr="008D1ECD" w:rsidRDefault="0091270E" w:rsidP="00924E5F">
            <w:pPr>
              <w:pStyle w:val="a3"/>
              <w:spacing w:line="276" w:lineRule="auto"/>
              <w:ind w:left="78" w:right="283"/>
              <w:jc w:val="both"/>
              <w:rPr>
                <w:rFonts w:ascii="Times New Roman" w:hAnsi="Times New Roman"/>
                <w:b/>
                <w:sz w:val="20"/>
                <w:szCs w:val="20"/>
                <w:u w:val="single"/>
              </w:rPr>
            </w:pPr>
            <w:r w:rsidRPr="008D1ECD">
              <w:rPr>
                <w:rFonts w:ascii="Times New Roman" w:hAnsi="Times New Roman"/>
                <w:b/>
                <w:sz w:val="20"/>
                <w:szCs w:val="20"/>
                <w:u w:val="single"/>
              </w:rPr>
              <w:t xml:space="preserve">Вопрос </w:t>
            </w:r>
            <w:r w:rsidR="003D0891" w:rsidRPr="008D1ECD">
              <w:rPr>
                <w:rFonts w:ascii="Times New Roman" w:hAnsi="Times New Roman"/>
                <w:b/>
                <w:sz w:val="20"/>
                <w:szCs w:val="20"/>
                <w:u w:val="single"/>
              </w:rPr>
              <w:t xml:space="preserve">№ </w:t>
            </w:r>
            <w:r w:rsidRPr="008D1ECD">
              <w:rPr>
                <w:rFonts w:ascii="Times New Roman" w:hAnsi="Times New Roman"/>
                <w:b/>
                <w:sz w:val="20"/>
                <w:szCs w:val="20"/>
                <w:u w:val="single"/>
              </w:rPr>
              <w:t xml:space="preserve">1. </w:t>
            </w:r>
          </w:p>
          <w:p w:rsidR="0091270E"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Об увеличении уставного капитала Общества путем размещения дополнительных акций посредством открытой подписки. </w:t>
            </w:r>
          </w:p>
          <w:p w:rsidR="00D9212C" w:rsidRPr="008D1ECD" w:rsidRDefault="00D9212C" w:rsidP="00924E5F">
            <w:pPr>
              <w:pStyle w:val="a3"/>
              <w:spacing w:line="276" w:lineRule="auto"/>
              <w:ind w:left="78" w:right="283"/>
              <w:jc w:val="both"/>
              <w:rPr>
                <w:rFonts w:ascii="Times New Roman" w:hAnsi="Times New Roman"/>
                <w:sz w:val="20"/>
                <w:szCs w:val="20"/>
              </w:rPr>
            </w:pPr>
          </w:p>
          <w:p w:rsidR="00D9212C"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w:t>
            </w:r>
            <w:r w:rsidR="003D0891" w:rsidRPr="008D1ECD">
              <w:rPr>
                <w:rFonts w:ascii="Times New Roman" w:hAnsi="Times New Roman"/>
                <w:sz w:val="20"/>
                <w:szCs w:val="20"/>
              </w:rPr>
              <w:t>7</w:t>
            </w:r>
            <w:r w:rsidRPr="008D1ECD">
              <w:rPr>
                <w:rFonts w:ascii="Times New Roman" w:hAnsi="Times New Roman"/>
                <w:sz w:val="20"/>
                <w:szCs w:val="20"/>
              </w:rPr>
              <w:t xml:space="preserve">. </w:t>
            </w:r>
            <w:r w:rsidR="00D0003B" w:rsidRPr="008D1ECD">
              <w:rPr>
                <w:rFonts w:ascii="Times New Roman" w:hAnsi="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91270E" w:rsidRPr="00D9212C" w:rsidRDefault="00D0003B" w:rsidP="00924E5F">
            <w:pPr>
              <w:pStyle w:val="a3"/>
              <w:spacing w:line="276" w:lineRule="auto"/>
              <w:ind w:left="78" w:right="283"/>
              <w:jc w:val="both"/>
              <w:rPr>
                <w:rFonts w:ascii="Times New Roman" w:hAnsi="Times New Roman"/>
                <w:b/>
                <w:sz w:val="20"/>
                <w:szCs w:val="20"/>
              </w:rPr>
            </w:pPr>
            <w:r w:rsidRPr="00D9212C">
              <w:rPr>
                <w:rFonts w:ascii="Times New Roman" w:hAnsi="Times New Roman"/>
                <w:b/>
                <w:sz w:val="20"/>
                <w:szCs w:val="20"/>
              </w:rPr>
              <w:t xml:space="preserve">С информацией (материалами), лица, имеющие право на участие во внеочередном общем собрании акционеров </w:t>
            </w:r>
            <w:r w:rsidR="003905DE">
              <w:rPr>
                <w:rFonts w:ascii="Times New Roman" w:hAnsi="Times New Roman"/>
                <w:b/>
                <w:sz w:val="20"/>
                <w:szCs w:val="20"/>
              </w:rPr>
              <w:t>Общества, могут ознакомиться с 16 февраля</w:t>
            </w:r>
            <w:r w:rsidRPr="00D9212C">
              <w:rPr>
                <w:rFonts w:ascii="Times New Roman" w:hAnsi="Times New Roman"/>
                <w:b/>
                <w:sz w:val="20"/>
                <w:szCs w:val="20"/>
              </w:rPr>
              <w:t xml:space="preserve"> 202</w:t>
            </w:r>
            <w:r w:rsidR="003905DE">
              <w:rPr>
                <w:rFonts w:ascii="Times New Roman" w:hAnsi="Times New Roman"/>
                <w:b/>
                <w:sz w:val="20"/>
                <w:szCs w:val="20"/>
              </w:rPr>
              <w:t>4</w:t>
            </w:r>
            <w:r w:rsidRPr="00D9212C">
              <w:rPr>
                <w:rFonts w:ascii="Times New Roman" w:hAnsi="Times New Roman"/>
                <w:b/>
                <w:sz w:val="20"/>
                <w:szCs w:val="20"/>
              </w:rPr>
              <w:t xml:space="preserve"> года до проведения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w:t>
            </w:r>
            <w:r w:rsidRPr="008D1ECD">
              <w:rPr>
                <w:rFonts w:ascii="Times New Roman" w:hAnsi="Times New Roman"/>
                <w:sz w:val="20"/>
                <w:szCs w:val="20"/>
              </w:rPr>
              <w:t xml:space="preserve"> </w:t>
            </w:r>
            <w:r w:rsidRPr="008D1ECD">
              <w:rPr>
                <w:rFonts w:ascii="Times New Roman" w:hAnsi="Times New Roman"/>
                <w:b/>
                <w:sz w:val="20"/>
                <w:szCs w:val="20"/>
              </w:rPr>
              <w:t>акции обыкновенные именные бездокументарные</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государственный регистрационный номер выпуска: 1-02-09669-J</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дата государственной регистрации: 09.08.2004</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международный код (номер) идентификации ценных бумаг (ISIN) – RU000A0JR514</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2.9</w:t>
            </w:r>
            <w:r w:rsidR="0091270E" w:rsidRPr="008D1ECD">
              <w:rPr>
                <w:rFonts w:ascii="Times New Roman" w:hAnsi="Times New Roman"/>
                <w:sz w:val="20"/>
                <w:szCs w:val="20"/>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w:t>
            </w:r>
            <w:r w:rsidR="0091270E" w:rsidRPr="008D1ECD">
              <w:rPr>
                <w:rFonts w:ascii="Times New Roman" w:hAnsi="Times New Roman"/>
                <w:sz w:val="20"/>
                <w:szCs w:val="20"/>
              </w:rPr>
              <w:lastRenderedPageBreak/>
              <w:t xml:space="preserve">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 </w:t>
            </w:r>
          </w:p>
          <w:p w:rsidR="0091270E" w:rsidRPr="00D9212C" w:rsidRDefault="0091270E" w:rsidP="00924E5F">
            <w:pPr>
              <w:pStyle w:val="a3"/>
              <w:spacing w:line="276" w:lineRule="auto"/>
              <w:ind w:left="78" w:right="283"/>
              <w:jc w:val="both"/>
              <w:rPr>
                <w:rFonts w:ascii="Times New Roman" w:hAnsi="Times New Roman"/>
                <w:b/>
                <w:sz w:val="20"/>
                <w:szCs w:val="20"/>
              </w:rPr>
            </w:pPr>
            <w:r w:rsidRPr="00D9212C">
              <w:rPr>
                <w:rFonts w:ascii="Times New Roman" w:hAnsi="Times New Roman"/>
                <w:b/>
                <w:sz w:val="20"/>
                <w:szCs w:val="20"/>
              </w:rPr>
              <w:t xml:space="preserve">заседание Совета </w:t>
            </w:r>
            <w:r w:rsidR="003D0891" w:rsidRPr="00D9212C">
              <w:rPr>
                <w:rFonts w:ascii="Times New Roman" w:hAnsi="Times New Roman"/>
                <w:b/>
                <w:sz w:val="20"/>
                <w:szCs w:val="20"/>
              </w:rPr>
              <w:t>д</w:t>
            </w:r>
            <w:r w:rsidR="003905DE">
              <w:rPr>
                <w:rFonts w:ascii="Times New Roman" w:hAnsi="Times New Roman"/>
                <w:b/>
                <w:sz w:val="20"/>
                <w:szCs w:val="20"/>
              </w:rPr>
              <w:t>иректоров ПАО «Фармсинтез» от 05</w:t>
            </w:r>
            <w:r w:rsidRPr="00D9212C">
              <w:rPr>
                <w:rFonts w:ascii="Times New Roman" w:hAnsi="Times New Roman"/>
                <w:b/>
                <w:sz w:val="20"/>
                <w:szCs w:val="20"/>
              </w:rPr>
              <w:t>.</w:t>
            </w:r>
            <w:r w:rsidR="003905DE">
              <w:rPr>
                <w:rFonts w:ascii="Times New Roman" w:hAnsi="Times New Roman"/>
                <w:b/>
                <w:sz w:val="20"/>
                <w:szCs w:val="20"/>
              </w:rPr>
              <w:t>02</w:t>
            </w:r>
            <w:r w:rsidRPr="00D9212C">
              <w:rPr>
                <w:rFonts w:ascii="Times New Roman" w:hAnsi="Times New Roman"/>
                <w:b/>
                <w:sz w:val="20"/>
                <w:szCs w:val="20"/>
              </w:rPr>
              <w:t>.202</w:t>
            </w:r>
            <w:r w:rsidR="003905DE">
              <w:rPr>
                <w:rFonts w:ascii="Times New Roman" w:hAnsi="Times New Roman"/>
                <w:b/>
                <w:sz w:val="20"/>
                <w:szCs w:val="20"/>
              </w:rPr>
              <w:t>4</w:t>
            </w:r>
            <w:r w:rsidRPr="00D9212C">
              <w:rPr>
                <w:rFonts w:ascii="Times New Roman" w:hAnsi="Times New Roman"/>
                <w:b/>
                <w:sz w:val="20"/>
                <w:szCs w:val="20"/>
              </w:rPr>
              <w:t xml:space="preserve">, протокол заседания Совета </w:t>
            </w:r>
            <w:r w:rsidR="003D0891" w:rsidRPr="00D9212C">
              <w:rPr>
                <w:rFonts w:ascii="Times New Roman" w:hAnsi="Times New Roman"/>
                <w:b/>
                <w:sz w:val="20"/>
                <w:szCs w:val="20"/>
              </w:rPr>
              <w:t>д</w:t>
            </w:r>
            <w:r w:rsidR="003905DE">
              <w:rPr>
                <w:rFonts w:ascii="Times New Roman" w:hAnsi="Times New Roman"/>
                <w:b/>
                <w:sz w:val="20"/>
                <w:szCs w:val="20"/>
              </w:rPr>
              <w:t>иректоров ПАО «Фармсинтез» от 06.02</w:t>
            </w:r>
            <w:r w:rsidRPr="00D9212C">
              <w:rPr>
                <w:rFonts w:ascii="Times New Roman" w:hAnsi="Times New Roman"/>
                <w:b/>
                <w:sz w:val="20"/>
                <w:szCs w:val="20"/>
              </w:rPr>
              <w:t>.202</w:t>
            </w:r>
            <w:r w:rsidR="003905DE">
              <w:rPr>
                <w:rFonts w:ascii="Times New Roman" w:hAnsi="Times New Roman"/>
                <w:b/>
                <w:sz w:val="20"/>
                <w:szCs w:val="20"/>
              </w:rPr>
              <w:t>4</w:t>
            </w:r>
            <w:r w:rsidRPr="00D9212C">
              <w:rPr>
                <w:rFonts w:ascii="Times New Roman" w:hAnsi="Times New Roman"/>
                <w:b/>
                <w:sz w:val="20"/>
                <w:szCs w:val="20"/>
              </w:rPr>
              <w:t xml:space="preserve"> года б/н</w:t>
            </w:r>
            <w:r w:rsidR="003D0891" w:rsidRPr="00D9212C">
              <w:rPr>
                <w:rFonts w:ascii="Times New Roman" w:hAnsi="Times New Roman"/>
                <w:b/>
                <w:sz w:val="20"/>
                <w:szCs w:val="20"/>
              </w:rPr>
              <w:t>.</w:t>
            </w:r>
            <w:r w:rsidRPr="00D9212C">
              <w:rPr>
                <w:rFonts w:ascii="Times New Roman" w:hAnsi="Times New Roman"/>
                <w:b/>
                <w:sz w:val="20"/>
                <w:szCs w:val="20"/>
              </w:rPr>
              <w:t xml:space="preserve"> </w:t>
            </w:r>
          </w:p>
          <w:p w:rsidR="00924E5F" w:rsidRPr="008D1ECD" w:rsidRDefault="0091270E" w:rsidP="003D0891">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2.1</w:t>
            </w:r>
            <w:r w:rsidR="003D0891" w:rsidRPr="008D1ECD">
              <w:rPr>
                <w:rFonts w:ascii="Times New Roman" w:hAnsi="Times New Roman"/>
                <w:sz w:val="20"/>
                <w:szCs w:val="20"/>
              </w:rPr>
              <w:t>0</w:t>
            </w:r>
            <w:r w:rsidRPr="008D1ECD">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3905DE" w:rsidRDefault="003905DE" w:rsidP="003D0891">
            <w:pPr>
              <w:jc w:val="center"/>
            </w:pPr>
            <w:r>
              <w:t>06</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3905DE" w:rsidP="00FA5629">
            <w:pPr>
              <w:jc w:val="center"/>
            </w:pPr>
            <w:r>
              <w:t>февраля</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BC6B40">
            <w:r w:rsidRPr="008D1ECD">
              <w:t>2</w:t>
            </w:r>
            <w:r w:rsidR="003905DE">
              <w:t>4</w:t>
            </w:r>
            <w:bookmarkStart w:id="0" w:name="_GoBack"/>
            <w:bookmarkEnd w:id="0"/>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E7F45"/>
    <w:rsid w:val="00107F42"/>
    <w:rsid w:val="001A4FCD"/>
    <w:rsid w:val="0022365A"/>
    <w:rsid w:val="002B4D4A"/>
    <w:rsid w:val="002D5F36"/>
    <w:rsid w:val="002F0584"/>
    <w:rsid w:val="003905DE"/>
    <w:rsid w:val="003A5BA9"/>
    <w:rsid w:val="003D0891"/>
    <w:rsid w:val="00406E64"/>
    <w:rsid w:val="00490408"/>
    <w:rsid w:val="00497AB2"/>
    <w:rsid w:val="004E079C"/>
    <w:rsid w:val="004F10D8"/>
    <w:rsid w:val="00544823"/>
    <w:rsid w:val="00561ED1"/>
    <w:rsid w:val="005B7D36"/>
    <w:rsid w:val="005C589D"/>
    <w:rsid w:val="00621DFF"/>
    <w:rsid w:val="00626785"/>
    <w:rsid w:val="006279A5"/>
    <w:rsid w:val="006431D0"/>
    <w:rsid w:val="006652B3"/>
    <w:rsid w:val="00683C03"/>
    <w:rsid w:val="006D7451"/>
    <w:rsid w:val="006F11B4"/>
    <w:rsid w:val="00704A18"/>
    <w:rsid w:val="00705F52"/>
    <w:rsid w:val="00751062"/>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E136B7"/>
    <w:rsid w:val="00E50BB2"/>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9A6B"/>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CACA-A893-4D47-9733-0F9C2B68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12</cp:revision>
  <cp:lastPrinted>2023-11-20T08:42:00Z</cp:lastPrinted>
  <dcterms:created xsi:type="dcterms:W3CDTF">2023-11-16T12:49:00Z</dcterms:created>
  <dcterms:modified xsi:type="dcterms:W3CDTF">2024-02-06T08:42:00Z</dcterms:modified>
</cp:coreProperties>
</file>