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097F10" w:rsidP="00062027">
            <w:pPr>
              <w:ind w:left="57" w:right="57"/>
              <w:jc w:val="both"/>
            </w:pPr>
            <w:r>
              <w:t>21</w:t>
            </w:r>
            <w:r w:rsidR="00062027">
              <w:t>.</w:t>
            </w:r>
            <w:r w:rsidR="00062027" w:rsidRPr="00683C03">
              <w:t>0</w:t>
            </w:r>
            <w:r w:rsidR="00062027">
              <w:t>3.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решения</w:t>
            </w:r>
            <w:r w:rsidRPr="002B7BA3">
              <w:rPr>
                <w:color w:val="000000"/>
              </w:rPr>
              <w:t>, принят</w:t>
            </w:r>
            <w:r w:rsidR="006A081C">
              <w:rPr>
                <w:color w:val="000000"/>
              </w:rPr>
              <w:t>ого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097F10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097F10">
              <w:rPr>
                <w:lang w:eastAsia="en-US"/>
              </w:rPr>
              <w:t>Об утверждении внутреннего документа в соответствии с п.14.2 Устава Общества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6A081C" w:rsidRDefault="00097F10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097F10">
              <w:rPr>
                <w:lang w:eastAsia="en-US"/>
              </w:rPr>
              <w:t>Утвердить Положение о внутреннем контроле Общества (Приложение № 2 к Решению о проведении заседания Совета директоров от 16.03.2022)</w:t>
            </w:r>
            <w:r>
              <w:rPr>
                <w:lang w:eastAsia="en-US"/>
              </w:rPr>
              <w:t>.</w:t>
            </w:r>
          </w:p>
          <w:p w:rsidR="006A081C" w:rsidRDefault="006A081C" w:rsidP="00097F10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D80761">
              <w:rPr>
                <w:b/>
                <w:color w:val="000000"/>
              </w:rPr>
              <w:t>18</w:t>
            </w:r>
            <w:r w:rsidRPr="006A081C">
              <w:rPr>
                <w:b/>
                <w:color w:val="000000"/>
              </w:rPr>
              <w:t>.03.202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D80761">
              <w:rPr>
                <w:b/>
                <w:color w:val="000000"/>
              </w:rPr>
              <w:t>21</w:t>
            </w:r>
            <w:r w:rsidRPr="006A081C">
              <w:rPr>
                <w:b/>
                <w:color w:val="000000"/>
              </w:rPr>
              <w:t>.03.202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A23E4E">
            <w:r w:rsidRPr="002B7BA3">
              <w:t>«</w:t>
            </w:r>
            <w:r w:rsidR="00D80761">
              <w:t>2</w:t>
            </w:r>
            <w:r w:rsidR="00A23E4E">
              <w:t>2</w:t>
            </w:r>
            <w:bookmarkStart w:id="0" w:name="_GoBack"/>
            <w:bookmarkEnd w:id="0"/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E15511">
            <w:r>
              <w:t>марта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F16752">
      <w:pgSz w:w="11907" w:h="16839" w:code="9"/>
      <w:pgMar w:top="567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573DB8"/>
    <w:rsid w:val="006A081C"/>
    <w:rsid w:val="006B3022"/>
    <w:rsid w:val="00A1052D"/>
    <w:rsid w:val="00A226ED"/>
    <w:rsid w:val="00A23E4E"/>
    <w:rsid w:val="00AA4302"/>
    <w:rsid w:val="00AD093F"/>
    <w:rsid w:val="00D80761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2022-03-05T15:11:00Z</dcterms:created>
  <dcterms:modified xsi:type="dcterms:W3CDTF">2022-03-22T10:03:00Z</dcterms:modified>
</cp:coreProperties>
</file>