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E17529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E17529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E1752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bookmarkStart w:id="0" w:name="_GoBack"/>
      <w:bookmarkEnd w:id="0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792EB0" w:rsidRPr="00E17529" w:rsidTr="00E17529">
        <w:tc>
          <w:tcPr>
            <w:tcW w:w="9667" w:type="dxa"/>
            <w:gridSpan w:val="2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Публичное </w:t>
            </w:r>
            <w:r w:rsidRPr="00E175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акционерное общество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1034700559189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7801075160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09669-J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702"/>
        <w:gridCol w:w="142"/>
        <w:gridCol w:w="1842"/>
      </w:tblGrid>
      <w:tr w:rsidR="00792EB0" w:rsidRPr="00792EB0" w:rsidTr="00E17529">
        <w:tc>
          <w:tcPr>
            <w:tcW w:w="9667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 вследствие технической ошибки.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ранее опубликованное сообщение, информация в котором изменяется (корректируется): "Решения совета директоров (наблюдательного совета)" (опубликовано 29.01.2021 17:48:12) http://www.e-disclosure.ru/LentaEvent.aspx?eventid=kW1LGiwiy0K8Vs64KL2bXg-B-B.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Краткое описание изменений: п.2.2 читать в следующей редакции: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4.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одобрении сделки, в совершении которой имеется заинтересованность.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«За» - 5, «Против» - 0, «Воздержался» - 0.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принято.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Решили.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Одобрить сделку, в совершении которой в соответствии со статьей 83 Федерального закона от 26.12.1995 № 208-з «Об акционерных  обществах» имеется заинтересованность члена (председателя) Совета директоров Публичного акционерного общества «Фармсинтез» Генкина Д.Д., являющегося членом Совета директоров компании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Xenetic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Biosciences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(сторона сделки), сумма оплаты по которой не превышает 10 % (Десять процентов) балансовой стоимости активов Общества по данным его бухгалтерской (финансовой) отчетности</w:t>
            </w:r>
            <w:proofErr w:type="gram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последнюю отчетную дату, а именно заключение дополнительного соглашения к Договору займа с компанией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Xenetic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Biosciences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(компания штата Невада, США, идентификационный номер работодателя 45-5241537) от 24 октября 2019 года (сделка одобрена на заседании СД  21.10.2019 года – Протокол заседания Совета директоров б/н от 23.10.2019) (Приложение  № 6, 7 к Решению о проведении заседания Совета директоров от 22.01.2021).</w:t>
            </w:r>
            <w:proofErr w:type="gramEnd"/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нижеследующих условиях: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 сделки: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Займодавец</w:t>
            </w: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</w:t>
            </w: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Xenetic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Biosciences, Inc. </w:t>
            </w: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(компания штата Невада, США, идентификационный номер работодателя 45-5241537).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Заемщик: Публичное акционерное общество «Фармсинтез».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  1: ООО «СинБио» (ОГРН 1117746126321, адрес: 119296, г. Москва, ул. Молодёжная, д. 3, этаж 1, помещение XVII, офис 1, комната 17).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  2: АО «Кевельт» (регистрационный код 10418580, адрес: ул. 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Теадуспарги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3/1, 12618, Таллинн, Эстония).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сделки: заключение дополнительного соглашения о внесении изменений (i) в Договор займа от 24 октября 2019 года, заключенный между Заемщиком и Займодавцем (далее – Договор займа) о продлении срока возврата Заемщиком суммы займа и срока уплаты процентов до 23 января 2022 года и изменении порядка погашения суммы займа и уплаты процентов согласно графика погашения, и (</w:t>
            </w:r>
            <w:proofErr w:type="spell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spell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Договор залога акций, заключенный</w:t>
            </w:r>
            <w:proofErr w:type="gram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октября 2019 г. между Обществом и Гарантом 1 в качестве залогодателей и Займодавцем в качестве обеспеченной стороны (далее – Договор залога), о продлении срока действия и сохранении в силе Договора залога в связи с продлением срока возврата займа и изменении графика погашения займа и выплаты процентов по Договору займа.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возврата суммы займа: 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сумма займа - USD 500 000, 00 (Пятьсот тысяч долларов США).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начисленные и неуплаченные по состоянию на 23 января 2021 года проценты по Займу (62 638,89 долларов США) подлежат выплате 6 (шестью) ежемесячными платежами в размере 10 439,82 долларов США каждый, начиная с 31 января 2021 года и по 30 июня 2021 года, пока начисленные и невыплаченные </w:t>
            </w: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проценты не будут оплачены.</w:t>
            </w:r>
            <w:proofErr w:type="gramEnd"/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Проценты по Займу в размере 10 % </w:t>
            </w:r>
            <w:proofErr w:type="gram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годовых</w:t>
            </w:r>
            <w:proofErr w:type="gram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подлежат выплате на непогашенную Основную сумму займа ежемесячно, начиная с 31 января 2021 года до Даты погашения (23 января 2022 года).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Платежи в размере 25 000,00 долларов США каждый подлежат выплате 23 января 2021 года и 28 февраля 2021 года в погашение Основной суммы займа.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Далее непогашенная Основная сумма займа подлежит выплате 6 (шестью) равными ежемесячными платежами в размере 75 000,00 долларов США, начиная с 31 августа 2021 года и вплоть до Даты погашения (23 января 2022 года).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цена сделки - 599 743,06 долларов США (сумма в рублях 45 142 660, 13 рублей).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ставка: 10 % (Десять процентов) годовых (360 дней). 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сделки (дополнительного соглашения): до полного выполнения обязательств.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Дата проведения заседания совета директоров эмитента, на котором приняты соответствующие решения: 27.01.2021.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Дата составления и номер протокола заседания совета директоров эмитента, на котором приняты соответствующие решения: 29.01.2021; б/</w:t>
            </w:r>
            <w:proofErr w:type="gramStart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2.5. 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 акции обыкновенные именные бездокументарные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государственной регистрации</w:t>
            </w: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Государственный регистрационный номер выпуска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09.08.2004</w:t>
            </w: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1-02-09669-J</w:t>
            </w:r>
          </w:p>
          <w:p w:rsidR="00A774B3" w:rsidRP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международный код (номер) идентификации ценных бумаг (ISIN) – RU000A0JWDP1</w:t>
            </w:r>
          </w:p>
          <w:p w:rsidR="00A774B3" w:rsidRDefault="00A774B3" w:rsidP="00694316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Полный текст сообщения с учетом внесённых изменений:</w:t>
            </w:r>
          </w:p>
          <w:p w:rsidR="00A774B3" w:rsidRPr="00A774B3" w:rsidRDefault="00A774B3" w:rsidP="00A774B3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774B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Сообщение о существенном факте </w:t>
            </w:r>
          </w:p>
          <w:p w:rsidR="00A774B3" w:rsidRPr="00A774B3" w:rsidRDefault="00A774B3" w:rsidP="00A774B3">
            <w:pPr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A774B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«О решениях, принятых советом директоров эмитента»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17"/>
              <w:gridCol w:w="5117"/>
            </w:tblGrid>
            <w:tr w:rsidR="00A774B3" w:rsidRPr="00A774B3" w:rsidTr="00991B3B">
              <w:tc>
                <w:tcPr>
                  <w:tcW w:w="10234" w:type="dxa"/>
                  <w:gridSpan w:val="2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br/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 Общие сведения</w:t>
                  </w:r>
                </w:p>
              </w:tc>
            </w:tr>
            <w:tr w:rsidR="00A774B3" w:rsidRPr="00A774B3" w:rsidTr="00991B3B">
              <w:tc>
                <w:tcPr>
                  <w:tcW w:w="5117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1.1. Полное фирменное наименование эмитента </w:t>
                  </w:r>
                </w:p>
              </w:tc>
              <w:tc>
                <w:tcPr>
                  <w:tcW w:w="5117" w:type="dxa"/>
                  <w:vAlign w:val="center"/>
                </w:tcPr>
                <w:p w:rsidR="00A774B3" w:rsidRPr="00A774B3" w:rsidRDefault="00A774B3" w:rsidP="00A774B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Публичное </w:t>
                  </w:r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eastAsia="ru-RU"/>
                    </w:rPr>
                    <w:t>акционерное общество «Фармсинтез»</w:t>
                  </w:r>
                </w:p>
              </w:tc>
            </w:tr>
            <w:tr w:rsidR="00A774B3" w:rsidRPr="00A774B3" w:rsidTr="00991B3B">
              <w:tc>
                <w:tcPr>
                  <w:tcW w:w="5117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1.2. Сокращенное фирменное наименование эмитента</w:t>
                  </w:r>
                </w:p>
              </w:tc>
              <w:tc>
                <w:tcPr>
                  <w:tcW w:w="5117" w:type="dxa"/>
                  <w:vAlign w:val="center"/>
                </w:tcPr>
                <w:p w:rsidR="00A774B3" w:rsidRPr="00A774B3" w:rsidRDefault="00A774B3" w:rsidP="00A774B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outlineLvl w:val="1"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ПАО «Фармсинтез»</w:t>
                  </w:r>
                </w:p>
              </w:tc>
            </w:tr>
            <w:tr w:rsidR="00A774B3" w:rsidRPr="00A774B3" w:rsidTr="00991B3B">
              <w:tc>
                <w:tcPr>
                  <w:tcW w:w="5117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1.3. Место нахождения эмитента</w:t>
                  </w:r>
                </w:p>
              </w:tc>
              <w:tc>
                <w:tcPr>
                  <w:tcW w:w="5117" w:type="dxa"/>
                  <w:vAlign w:val="center"/>
                </w:tcPr>
                <w:p w:rsidR="00A774B3" w:rsidRPr="00A774B3" w:rsidRDefault="00A774B3" w:rsidP="00A774B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 xml:space="preserve">Российская Федерация, Ленинградская область, Всеволожский район </w:t>
                  </w:r>
                </w:p>
              </w:tc>
            </w:tr>
            <w:tr w:rsidR="00A774B3" w:rsidRPr="00A774B3" w:rsidTr="00991B3B">
              <w:tc>
                <w:tcPr>
                  <w:tcW w:w="5117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1.4. ОГРН эмитента</w:t>
                  </w:r>
                </w:p>
              </w:tc>
              <w:tc>
                <w:tcPr>
                  <w:tcW w:w="5117" w:type="dxa"/>
                  <w:vAlign w:val="center"/>
                </w:tcPr>
                <w:p w:rsidR="00A774B3" w:rsidRPr="00A774B3" w:rsidRDefault="00A774B3" w:rsidP="00A774B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1034700559189</w:t>
                  </w:r>
                </w:p>
              </w:tc>
            </w:tr>
            <w:tr w:rsidR="00A774B3" w:rsidRPr="00A774B3" w:rsidTr="00991B3B">
              <w:tc>
                <w:tcPr>
                  <w:tcW w:w="5117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1.5. ИНН эмитента</w:t>
                  </w:r>
                </w:p>
              </w:tc>
              <w:tc>
                <w:tcPr>
                  <w:tcW w:w="5117" w:type="dxa"/>
                  <w:vAlign w:val="center"/>
                </w:tcPr>
                <w:p w:rsidR="00A774B3" w:rsidRPr="00A774B3" w:rsidRDefault="00A774B3" w:rsidP="00A774B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7801075160</w:t>
                  </w:r>
                </w:p>
              </w:tc>
            </w:tr>
            <w:tr w:rsidR="00A774B3" w:rsidRPr="00A774B3" w:rsidTr="00991B3B">
              <w:tc>
                <w:tcPr>
                  <w:tcW w:w="5117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5117" w:type="dxa"/>
                  <w:vAlign w:val="center"/>
                </w:tcPr>
                <w:p w:rsidR="00A774B3" w:rsidRPr="00A774B3" w:rsidRDefault="00A774B3" w:rsidP="00A774B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09669-J</w:t>
                  </w:r>
                </w:p>
              </w:tc>
            </w:tr>
            <w:tr w:rsidR="00A774B3" w:rsidRPr="00A774B3" w:rsidTr="00991B3B">
              <w:tc>
                <w:tcPr>
                  <w:tcW w:w="5117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85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117" w:type="dxa"/>
                  <w:vAlign w:val="center"/>
                </w:tcPr>
                <w:p w:rsidR="00A774B3" w:rsidRPr="00A774B3" w:rsidRDefault="00A774B3" w:rsidP="00A774B3">
                  <w:pPr>
                    <w:keepNext/>
                    <w:autoSpaceDE w:val="0"/>
                    <w:autoSpaceDN w:val="0"/>
                    <w:spacing w:after="0" w:line="240" w:lineRule="auto"/>
                    <w:ind w:left="57" w:right="57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  <w:t>http://www.pharmsynthez.com/, http://www.e-disclosure.ru/portal/company.aspx?id=4378</w:t>
                  </w:r>
                </w:p>
              </w:tc>
            </w:tr>
          </w:tbl>
          <w:p w:rsidR="00A774B3" w:rsidRPr="00A774B3" w:rsidRDefault="00A774B3" w:rsidP="00A77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A774B3" w:rsidRPr="00A774B3" w:rsidTr="00A774B3">
              <w:tc>
                <w:tcPr>
                  <w:tcW w:w="9351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57" w:right="57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2. Содержание сообщения</w:t>
                  </w:r>
                </w:p>
              </w:tc>
            </w:tr>
            <w:tr w:rsidR="00A774B3" w:rsidRPr="00A774B3" w:rsidTr="00A774B3">
              <w:tc>
                <w:tcPr>
                  <w:tcW w:w="9351" w:type="dxa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2.1. </w:t>
                  </w:r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>Кворум заседания совета директоров эмитента: в заседании Совета директоров Общества приняли участие 7 из 7 избранных членов Совета директоров. Кворум для проведения заседания Совета директоров имеется. Кворум для принятия решений Советом директоров по вопросам, поставленным на голосование, с учетом полученных письменных мнений членов Совета директоров Общества, имеется.</w:t>
                  </w:r>
                  <w:r w:rsidRPr="00A774B3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ru-RU"/>
                    </w:rPr>
                    <w:t xml:space="preserve"> Председатель Совета директоров Генкин Д.Д. участие в голосовании по вопросу повестки дня № 4 не принимал ввиду заинтересованности. Член совета директоров участие в голосования по вопросу повестки дня № 4 не принимал на основании</w:t>
                  </w:r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</w:rPr>
                    <w:t xml:space="preserve">пункта 3 статьи 83  </w:t>
                  </w:r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sz w:val="16"/>
                      <w:szCs w:val="16"/>
                      <w:lang w:eastAsia="ru-RU"/>
                    </w:rPr>
                    <w:t>Федерального закона от 26 декабря 1995 г. № 208-ФЗ «Об акционерных обществах».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spacing w:before="60" w:after="60" w:line="240" w:lineRule="auto"/>
                    <w:ind w:left="142" w:right="397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2.2. Содержание отдельных решений, принятых советом директоров эмитента: </w:t>
                  </w:r>
                </w:p>
                <w:p w:rsidR="00A774B3" w:rsidRPr="00A774B3" w:rsidRDefault="00A774B3" w:rsidP="00A774B3">
                  <w:pPr>
                    <w:spacing w:after="0" w:line="240" w:lineRule="auto"/>
                    <w:ind w:left="142" w:right="397"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Вопрос 4.</w:t>
                  </w:r>
                </w:p>
                <w:p w:rsidR="00A774B3" w:rsidRPr="00A774B3" w:rsidRDefault="00A774B3" w:rsidP="00A774B3">
                  <w:pPr>
                    <w:spacing w:after="0" w:line="240" w:lineRule="auto"/>
                    <w:ind w:left="142" w:right="397"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Об одобрении сделки, в совершении которой имеется заинтересованность.</w:t>
                  </w:r>
                </w:p>
                <w:p w:rsidR="00A774B3" w:rsidRPr="00A774B3" w:rsidRDefault="00A774B3" w:rsidP="00A774B3">
                  <w:pPr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ИТОГО: «За» - 5, «Против» - 0, «Воздержался» - 0.</w:t>
                  </w:r>
                </w:p>
                <w:p w:rsidR="00A774B3" w:rsidRPr="00A774B3" w:rsidRDefault="00A774B3" w:rsidP="00A774B3">
                  <w:pPr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Решение принято.</w:t>
                  </w:r>
                </w:p>
                <w:p w:rsidR="00A774B3" w:rsidRPr="00A774B3" w:rsidRDefault="00A774B3" w:rsidP="00A774B3">
                  <w:pPr>
                    <w:spacing w:after="0" w:line="240" w:lineRule="auto"/>
                    <w:ind w:left="142" w:right="397"/>
                    <w:jc w:val="both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Решили.</w:t>
                  </w:r>
                </w:p>
                <w:p w:rsidR="00A774B3" w:rsidRPr="00A774B3" w:rsidRDefault="00A774B3" w:rsidP="00A774B3">
                  <w:pPr>
                    <w:spacing w:after="0" w:line="240" w:lineRule="auto"/>
                    <w:ind w:left="142" w:right="397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Одобрить сделку, в совершении которой в соответствии со статьей 83 Федерального закона от 26.12.1995 № 208-з «Об акционерных  обществах» имеется заинтересованность члена (председателя) Совета директоров Публичного акционерного общества «Фармсинтез» Генкина Д.Д.,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являющегося членом Совета директоров компании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Xenetic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Biosciences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Inc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. (сторона сделки), сумма оплаты по которой не превышает 10 % (Десять процентов) балансовой стоимости активов Общества по данным его бухгалтерской (финансовой) отчетности на последнюю отчетную дату,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 именно заключение дополнительного соглашения к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Договору займа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x-none" w:eastAsia="ru-RU"/>
                    </w:rPr>
                    <w:t xml:space="preserve"> компанией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Xenetic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Biosciences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Inc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(компания штата Невада, США, идентификационный номер работодателя 45-5241537)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 24 октября 2019 года (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сделка одобрена на заседании СД  21.10.2019 года – Протокол заседания Совета директоров б/н от 23.10.2019) (Приложение  </w:t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№ 6, 7 к Решению о проведении заседания Совета директоров от 22.01.2021).</w:t>
                  </w:r>
                </w:p>
                <w:p w:rsidR="00A774B3" w:rsidRPr="00A774B3" w:rsidRDefault="00A774B3" w:rsidP="00A77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 нижеследующих условиях: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Стороны сделки: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Займодавец</w:t>
                  </w: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val="en-US" w:eastAsia="ru-RU"/>
                    </w:rPr>
                    <w:t>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компания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Xenetic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Biosciences, Inc.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(компания штата Невада, США, идентификационный номер работодателя 45-5241537).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Заемщик: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Публичное акционерное общество «Фармсинтез».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Гарант  1: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ООО «СинБио» (ОГРН 1117746126321,</w:t>
                  </w:r>
                  <w:r w:rsidRPr="00A774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адрес</w:t>
                  </w:r>
                  <w:r w:rsidRPr="00A774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: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119296, г. Москва, ул. Молодёжная, д. 3, этаж 1, помещение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XVII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офис 1, комната 17).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Гарант  2: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АО «Кевельт» (регистрационный код 10418580, адрес: ул. 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Теадуспарги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д. 3/1, 12618, Таллинн, Эстония).</w:t>
                  </w:r>
                </w:p>
                <w:p w:rsidR="00A774B3" w:rsidRPr="00A774B3" w:rsidRDefault="00A774B3" w:rsidP="00A774B3">
                  <w:pPr>
                    <w:spacing w:after="0" w:line="240" w:lineRule="auto"/>
                    <w:ind w:left="142" w:right="397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Предмет сделки: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заключение дополнительного соглашения о внесении изменений (</w:t>
                  </w:r>
                  <w:proofErr w:type="spellStart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i</w:t>
                  </w:r>
                  <w:proofErr w:type="spellEnd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 в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Договор займа от 24 октября 2019 года, заключенный между Заемщиком и Займодавцем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(далее – Договор займа) о продлении срока возврата </w:t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Заемщиком суммы займа и срока уплаты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процентов до 23 января 2022 года и изменении порядка погашения суммы займа и уплаты процентов согласно графика погашения, и (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ii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 в Договор залога </w:t>
                  </w:r>
                  <w:r w:rsidRPr="00A774B3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акций, </w:t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заключенный </w:t>
                  </w:r>
                  <w:r w:rsidRPr="00A774B3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24 октября 2019 г. </w:t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между Обществом и Гарантом 1 в качестве залогодателей и Займодавцем в качестве обеспеченной стороны (далее – Договор залога),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 продлении срока действия и сохранении в силе Договора залога </w:t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в связи с продлением срока возврата займа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и изменении графика погашения займа и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 xml:space="preserve">выплаты процентов по </w:t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Договору займа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Условия возврата суммы займа: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Основная сумма займа -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val="en-US" w:eastAsia="ru-RU"/>
                    </w:rPr>
                    <w:t>USD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500 000, 00 (Пятьсот тысяч долларов США).</w:t>
                  </w:r>
                </w:p>
                <w:p w:rsidR="00A774B3" w:rsidRPr="00A774B3" w:rsidRDefault="00A774B3" w:rsidP="00A77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. Все начисленные и неуплаченные по состоянию на 23 января 2021 года проценты по Займу (62 638,89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долларов США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) подлежат </w:t>
                  </w:r>
                  <w:r w:rsidR="0069431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выплате 6 (шестью) ежемесячными платежами в размере 10 439,82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долларов США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каждый, начиная с 31 января 2021 года и по 30 июня 2021 года, пока начисленные и невыплаченные проценты не будут оплачены.</w:t>
                  </w:r>
                </w:p>
                <w:p w:rsidR="00A774B3" w:rsidRPr="00A774B3" w:rsidRDefault="00A774B3" w:rsidP="00A77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2. Проценты по Займу в размере 10 % </w:t>
                  </w:r>
                  <w:proofErr w:type="gramStart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годовых</w:t>
                  </w:r>
                  <w:proofErr w:type="gramEnd"/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подлежат выплате на непогашенную Основную сумму займа ежемесячно, начиная с 31 января 2021 года до Даты погашения (23 января 2022 года).</w:t>
                  </w:r>
                </w:p>
                <w:p w:rsidR="00A774B3" w:rsidRPr="00A774B3" w:rsidRDefault="00A774B3" w:rsidP="00A77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3. Платежи в размере 25 000,00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долларов США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каждый подлежат выплате 23 января 2021 года и 28 февраля 2021 года в погашение Основной суммы займа.</w:t>
                  </w:r>
                </w:p>
                <w:p w:rsidR="00A774B3" w:rsidRPr="00A774B3" w:rsidRDefault="00A774B3" w:rsidP="00A774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4. Далее непогашенная Основная сумма займа подлежит выплате 6 (шестью) равными ежемесячными платежами в размере 75 000,00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долларов США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начиная с 31 августа 2021 года и вплоть до Даты погашения (23 января 2022 года).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Максимальная цена сделки - 599 743,06 долларов США 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(сумма в рублях 45 142 660, 13 рублей).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Процентная ставка:</w:t>
                  </w:r>
                  <w:r w:rsidRPr="00A774B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10 % (Десять процентов) годовых (360 дней). 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397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Срок действия сделки (дополнительного соглашения):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 полного выполнения обязательств.</w:t>
                  </w:r>
                </w:p>
                <w:p w:rsidR="00A774B3" w:rsidRPr="00A774B3" w:rsidRDefault="00A774B3" w:rsidP="00A774B3">
                  <w:pPr>
                    <w:tabs>
                      <w:tab w:val="left" w:pos="0"/>
                      <w:tab w:val="num" w:pos="426"/>
                    </w:tabs>
                    <w:suppressAutoHyphens/>
                    <w:autoSpaceDE w:val="0"/>
                    <w:autoSpaceDN w:val="0"/>
                    <w:spacing w:before="60" w:after="60" w:line="240" w:lineRule="auto"/>
                    <w:ind w:left="57" w:right="39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2.3. Дата проведения заседания совета директоров эмитента, на котором приняты соответствующие решения: 27.01.2021</w:t>
                  </w:r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spacing w:before="60" w:after="60" w:line="240" w:lineRule="auto"/>
                    <w:ind w:left="57" w:right="397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2.4. Дата составления и номер протокола заседания совета директоров эмитента, на котором приняты соответствующие решения: 29.01.2021</w:t>
                  </w:r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; </w:t>
                  </w:r>
                  <w:r w:rsidRPr="00A774B3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б/</w:t>
                  </w:r>
                  <w:proofErr w:type="gramStart"/>
                  <w:r w:rsidRPr="00A774B3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</w:t>
                  </w:r>
                  <w:proofErr w:type="gramEnd"/>
                  <w:r w:rsidRPr="00A774B3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 </w:t>
                  </w:r>
                </w:p>
                <w:p w:rsidR="00A774B3" w:rsidRPr="00A774B3" w:rsidRDefault="00A774B3" w:rsidP="00A774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9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2.5. </w:t>
                  </w: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акции обыкновенные именные бездокументарные</w:t>
                  </w:r>
                </w:p>
                <w:tbl>
                  <w:tblPr>
                    <w:tblW w:w="0" w:type="auto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2"/>
                    <w:gridCol w:w="5670"/>
                  </w:tblGrid>
                  <w:tr w:rsidR="00A774B3" w:rsidRPr="00A774B3" w:rsidTr="00991B3B">
                    <w:tc>
                      <w:tcPr>
                        <w:tcW w:w="437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774B3" w:rsidRPr="00A774B3" w:rsidRDefault="00A774B3" w:rsidP="00A774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774B3">
                          <w:rPr>
                            <w:rFonts w:ascii="Times New Roman" w:eastAsia="Times New Roman" w:hAnsi="Times New Roman" w:cs="Times New Roman"/>
                            <w:iCs/>
                            <w:sz w:val="16"/>
                            <w:szCs w:val="16"/>
                            <w:lang w:eastAsia="ru-RU"/>
                          </w:rPr>
                          <w:t xml:space="preserve">- </w:t>
                        </w:r>
                        <w:r w:rsidRPr="00A774B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Дата государственной регистрации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doub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A774B3" w:rsidRPr="00A774B3" w:rsidRDefault="00A774B3" w:rsidP="00A774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39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774B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Государственный регистрационный номер выпуска</w:t>
                        </w:r>
                      </w:p>
                    </w:tc>
                  </w:tr>
                  <w:tr w:rsidR="00A774B3" w:rsidRPr="00A774B3" w:rsidTr="00991B3B">
                    <w:tc>
                      <w:tcPr>
                        <w:tcW w:w="4372" w:type="dxa"/>
                        <w:tcBorders>
                          <w:top w:val="single" w:sz="6" w:space="0" w:color="auto"/>
                          <w:left w:val="doub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A774B3" w:rsidRPr="00A774B3" w:rsidRDefault="00A774B3" w:rsidP="00A774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39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774B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09.08.2004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double" w:sz="6" w:space="0" w:color="auto"/>
                        </w:tcBorders>
                        <w:hideMark/>
                      </w:tcPr>
                      <w:p w:rsidR="00A774B3" w:rsidRPr="00A774B3" w:rsidRDefault="00A774B3" w:rsidP="00A774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0" w:after="40" w:line="240" w:lineRule="auto"/>
                          <w:ind w:right="39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774B3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1-02-09669-J</w:t>
                        </w:r>
                      </w:p>
                    </w:tc>
                  </w:tr>
                </w:tbl>
                <w:p w:rsidR="00A774B3" w:rsidRPr="00A774B3" w:rsidRDefault="00A774B3" w:rsidP="00A774B3">
                  <w:pPr>
                    <w:spacing w:after="0" w:line="240" w:lineRule="auto"/>
                    <w:ind w:right="39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Times New Roman" w:hAnsi="Times New Roman" w:cs="Times New Roman"/>
                      <w:bCs/>
                      <w:iCs/>
                      <w:sz w:val="16"/>
                      <w:szCs w:val="16"/>
                      <w:lang w:eastAsia="ru-RU"/>
                    </w:rPr>
                    <w:t xml:space="preserve">- международный код (номер) идентификации ценных бумаг (ISIN) – </w:t>
                  </w:r>
                  <w:r w:rsidRPr="00A77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RU000A0JWDP1</w:t>
                  </w:r>
                </w:p>
              </w:tc>
            </w:tr>
          </w:tbl>
          <w:p w:rsidR="00A774B3" w:rsidRPr="00A774B3" w:rsidRDefault="00A774B3" w:rsidP="00A774B3">
            <w:pPr>
              <w:autoSpaceDE w:val="0"/>
              <w:autoSpaceDN w:val="0"/>
              <w:spacing w:after="0" w:line="240" w:lineRule="auto"/>
              <w:ind w:right="39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43"/>
              <w:gridCol w:w="664"/>
              <w:gridCol w:w="1559"/>
              <w:gridCol w:w="2515"/>
              <w:gridCol w:w="1843"/>
              <w:gridCol w:w="142"/>
              <w:gridCol w:w="2268"/>
            </w:tblGrid>
            <w:tr w:rsidR="00A774B3" w:rsidRPr="00A774B3" w:rsidTr="00991B3B">
              <w:tc>
                <w:tcPr>
                  <w:tcW w:w="10234" w:type="dxa"/>
                  <w:gridSpan w:val="7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right="397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3. Подпись</w:t>
                  </w:r>
                </w:p>
              </w:tc>
            </w:tr>
            <w:tr w:rsidR="00A774B3" w:rsidRPr="00A774B3" w:rsidTr="00991B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278"/>
              </w:trPr>
              <w:tc>
                <w:tcPr>
                  <w:tcW w:w="598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before="20" w:after="0" w:line="240" w:lineRule="auto"/>
                    <w:ind w:left="85"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3.1. Генеральный директор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before="20" w:after="0" w:line="240" w:lineRule="auto"/>
                    <w:ind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before="20" w:after="0" w:line="240" w:lineRule="auto"/>
                    <w:ind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before="20" w:after="0" w:line="240" w:lineRule="auto"/>
                    <w:ind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Е.А. Прилежаев</w:t>
                  </w:r>
                </w:p>
              </w:tc>
            </w:tr>
            <w:tr w:rsidR="00A774B3" w:rsidRPr="00A774B3" w:rsidTr="00991B3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  <w:trHeight w:val="410"/>
              </w:trPr>
              <w:tc>
                <w:tcPr>
                  <w:tcW w:w="12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left="85"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3.2. Дата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ind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января</w:t>
                  </w:r>
                </w:p>
              </w:tc>
              <w:tc>
                <w:tcPr>
                  <w:tcW w:w="676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A774B3" w:rsidRPr="00A774B3" w:rsidRDefault="00A774B3" w:rsidP="00A774B3">
                  <w:pPr>
                    <w:tabs>
                      <w:tab w:val="left" w:pos="1219"/>
                    </w:tabs>
                    <w:autoSpaceDE w:val="0"/>
                    <w:autoSpaceDN w:val="0"/>
                    <w:spacing w:after="0" w:line="240" w:lineRule="auto"/>
                    <w:ind w:left="77" w:right="397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774B3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2021 г.</w:t>
                  </w:r>
                </w:p>
              </w:tc>
            </w:tr>
            <w:tr w:rsidR="00A774B3" w:rsidRPr="00A774B3" w:rsidTr="00991B3B">
              <w:tc>
                <w:tcPr>
                  <w:tcW w:w="10234" w:type="dxa"/>
                  <w:gridSpan w:val="7"/>
                  <w:tcBorders>
                    <w:top w:val="nil"/>
                  </w:tcBorders>
                </w:tcPr>
                <w:p w:rsidR="00A774B3" w:rsidRPr="00A774B3" w:rsidRDefault="00A774B3" w:rsidP="00A774B3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774B3" w:rsidRPr="00A774B3" w:rsidRDefault="00A774B3" w:rsidP="00A774B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</w:p>
          <w:p w:rsidR="00A774B3" w:rsidRPr="00A774B3" w:rsidRDefault="00A774B3" w:rsidP="00A774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93D2F" w:rsidRPr="00E17529" w:rsidRDefault="00093D2F" w:rsidP="00A774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Подпись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 Генеральный директор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E17529" w:rsidRDefault="00792EB0" w:rsidP="000A1503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E17529" w:rsidRDefault="00E1752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E17529" w:rsidRDefault="00E17529" w:rsidP="00E17529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.А. Прилежаев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A774B3" w:rsidP="00A774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A774B3" w:rsidP="00A774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E17529" w:rsidRDefault="00792EB0" w:rsidP="000A1503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A1503"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92EB0" w:rsidRPr="00E17529" w:rsidTr="00E17529">
        <w:trPr>
          <w:trHeight w:val="80"/>
        </w:trPr>
        <w:tc>
          <w:tcPr>
            <w:tcW w:w="9667" w:type="dxa"/>
            <w:gridSpan w:val="7"/>
            <w:tcBorders>
              <w:top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838AD"/>
    <w:rsid w:val="00093D2F"/>
    <w:rsid w:val="000A1503"/>
    <w:rsid w:val="0013325C"/>
    <w:rsid w:val="00144D13"/>
    <w:rsid w:val="00331A33"/>
    <w:rsid w:val="00384E51"/>
    <w:rsid w:val="003851C8"/>
    <w:rsid w:val="00446B65"/>
    <w:rsid w:val="005108B9"/>
    <w:rsid w:val="00611875"/>
    <w:rsid w:val="00694316"/>
    <w:rsid w:val="00750972"/>
    <w:rsid w:val="00792EB0"/>
    <w:rsid w:val="00852614"/>
    <w:rsid w:val="00930E8E"/>
    <w:rsid w:val="00A774B3"/>
    <w:rsid w:val="00BC0E1D"/>
    <w:rsid w:val="00D54D1C"/>
    <w:rsid w:val="00DF34E8"/>
    <w:rsid w:val="00E17529"/>
    <w:rsid w:val="00E21CB2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Avtor</cp:lastModifiedBy>
  <cp:revision>5</cp:revision>
  <dcterms:created xsi:type="dcterms:W3CDTF">2021-02-04T10:35:00Z</dcterms:created>
  <dcterms:modified xsi:type="dcterms:W3CDTF">2021-02-04T11:15:00Z</dcterms:modified>
</cp:coreProperties>
</file>