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</w:t>
      </w:r>
      <w:r w:rsidR="006279A5" w:rsidRPr="006279A5">
        <w:rPr>
          <w:b/>
        </w:rPr>
        <w:t xml:space="preserve">О созыве и проведении </w:t>
      </w:r>
      <w:r w:rsidR="005B7D36">
        <w:rPr>
          <w:b/>
        </w:rPr>
        <w:t xml:space="preserve">повторного </w:t>
      </w:r>
      <w:r w:rsidR="006279A5" w:rsidRPr="006279A5">
        <w:rPr>
          <w:b/>
        </w:rPr>
        <w:t>общего собрания акционеров</w:t>
      </w:r>
      <w:bookmarkStart w:id="0" w:name="_GoBack"/>
      <w:bookmarkEnd w:id="0"/>
      <w:r w:rsidR="006279A5" w:rsidRPr="006279A5">
        <w:rPr>
          <w:b/>
        </w:rPr>
        <w:t xml:space="preserve"> эмитента</w:t>
      </w:r>
      <w:r w:rsidRPr="00C84D40">
        <w:rPr>
          <w:b/>
        </w:rPr>
        <w:t>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751062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751062">
            <w:pPr>
              <w:jc w:val="center"/>
            </w:pPr>
            <w:r w:rsidRPr="00C84D40">
              <w:t>1. Общие сведения</w:t>
            </w:r>
          </w:p>
        </w:tc>
      </w:tr>
      <w:tr w:rsidR="00CD068F" w:rsidRPr="004704CC" w:rsidTr="00751062">
        <w:tc>
          <w:tcPr>
            <w:tcW w:w="4933" w:type="dxa"/>
          </w:tcPr>
          <w:p w:rsidR="00CD068F" w:rsidRPr="004704CC" w:rsidRDefault="00CD068F" w:rsidP="00CD068F">
            <w:pPr>
              <w:ind w:right="57"/>
              <w:jc w:val="both"/>
            </w:pPr>
            <w:r w:rsidRPr="004704CC"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CD068F" w:rsidRPr="00683C03" w:rsidRDefault="00CD068F" w:rsidP="00CD068F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CD068F" w:rsidRPr="004704CC" w:rsidTr="00751062">
        <w:tc>
          <w:tcPr>
            <w:tcW w:w="4933" w:type="dxa"/>
          </w:tcPr>
          <w:p w:rsidR="00CD068F" w:rsidRPr="00863AAF" w:rsidRDefault="00CD068F" w:rsidP="00CD068F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CD068F" w:rsidRPr="00683C03" w:rsidRDefault="00CD068F" w:rsidP="00CD068F">
            <w:pPr>
              <w:ind w:left="57" w:right="57"/>
              <w:jc w:val="both"/>
            </w:pPr>
            <w:r w:rsidRPr="004A2CAF">
              <w:t xml:space="preserve">188663, Ленинградская обл., Всеволожский муниципальный район, </w:t>
            </w:r>
            <w:proofErr w:type="spellStart"/>
            <w:r w:rsidRPr="004A2CAF">
              <w:t>Кузьмоловское</w:t>
            </w:r>
            <w:proofErr w:type="spellEnd"/>
            <w:r w:rsidRPr="004A2CAF">
              <w:t xml:space="preserve"> городское поселение, </w:t>
            </w:r>
            <w:proofErr w:type="spellStart"/>
            <w:r w:rsidRPr="004A2CAF">
              <w:t>гп</w:t>
            </w:r>
            <w:proofErr w:type="spellEnd"/>
            <w:r w:rsidRPr="004A2CAF">
              <w:t xml:space="preserve">. </w:t>
            </w:r>
            <w:proofErr w:type="spellStart"/>
            <w:r w:rsidRPr="004A2CAF">
              <w:t>Кузьмоловский</w:t>
            </w:r>
            <w:proofErr w:type="spellEnd"/>
            <w:r w:rsidRPr="004A2CAF">
              <w:t>, ул. Заводская, здание 3, корпус 134</w:t>
            </w:r>
          </w:p>
        </w:tc>
      </w:tr>
      <w:tr w:rsidR="00CD068F" w:rsidRPr="004704CC" w:rsidTr="00845B5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8F" w:rsidRDefault="00CD068F" w:rsidP="00CD068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CD068F" w:rsidRPr="00683C03" w:rsidRDefault="00CD068F" w:rsidP="00CD068F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CD068F" w:rsidRPr="004704CC" w:rsidTr="00845B5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8F" w:rsidRDefault="00CD068F" w:rsidP="00CD068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CD068F" w:rsidRPr="00683C03" w:rsidRDefault="00CD068F" w:rsidP="00CD068F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CD068F" w:rsidRPr="004704CC" w:rsidTr="00751062">
        <w:tc>
          <w:tcPr>
            <w:tcW w:w="4933" w:type="dxa"/>
          </w:tcPr>
          <w:p w:rsidR="00CD068F" w:rsidRPr="004704CC" w:rsidRDefault="00CD068F" w:rsidP="00CD068F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CD068F" w:rsidRPr="00683C03" w:rsidRDefault="00CD068F" w:rsidP="00CD068F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CD068F" w:rsidRPr="004704CC" w:rsidTr="00751062">
        <w:tc>
          <w:tcPr>
            <w:tcW w:w="4933" w:type="dxa"/>
          </w:tcPr>
          <w:p w:rsidR="00CD068F" w:rsidRPr="004704CC" w:rsidRDefault="00CD068F" w:rsidP="00CD068F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CD068F" w:rsidRPr="00683C03" w:rsidRDefault="00CD068F" w:rsidP="00CD068F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CD068F" w:rsidRPr="00683C03" w:rsidRDefault="00CD068F" w:rsidP="00CD068F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CD068F" w:rsidRPr="004704CC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8F" w:rsidRPr="004704CC" w:rsidRDefault="00CD068F" w:rsidP="00CD068F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8F" w:rsidRPr="00683C03" w:rsidRDefault="00ED3E92" w:rsidP="002F0584">
            <w:pPr>
              <w:ind w:left="57" w:right="57"/>
              <w:jc w:val="both"/>
            </w:pPr>
            <w:r>
              <w:t>10</w:t>
            </w:r>
            <w:r w:rsidR="00CD068F">
              <w:t>.0</w:t>
            </w:r>
            <w:r w:rsidR="005B7D36">
              <w:t>7</w:t>
            </w:r>
            <w:r w:rsidR="00CD068F">
              <w:t>.2023</w:t>
            </w:r>
          </w:p>
        </w:tc>
      </w:tr>
    </w:tbl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751062">
        <w:trPr>
          <w:trHeight w:val="255"/>
        </w:trPr>
        <w:tc>
          <w:tcPr>
            <w:tcW w:w="9951" w:type="dxa"/>
          </w:tcPr>
          <w:p w:rsidR="005C589D" w:rsidRPr="00C84D40" w:rsidRDefault="005C589D" w:rsidP="00751062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924E5F" w:rsidRPr="001315CB" w:rsidTr="008263C9">
        <w:trPr>
          <w:trHeight w:val="1266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 xml:space="preserve">2.1. </w:t>
            </w:r>
            <w:r w:rsidR="003A5BA9" w:rsidRPr="00924E5F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общего собрания участников (акционеров) эмитента: </w:t>
            </w:r>
          </w:p>
          <w:p w:rsidR="00924E5F" w:rsidRPr="00924E5F" w:rsidRDefault="005B7D36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Повторное </w:t>
            </w:r>
            <w:r w:rsidR="00924E5F">
              <w:rPr>
                <w:rFonts w:ascii="Times New Roman" w:hAnsi="Times New Roman"/>
                <w:b/>
                <w:sz w:val="20"/>
                <w:szCs w:val="20"/>
              </w:rPr>
              <w:t>годовое</w:t>
            </w:r>
            <w:r w:rsidR="00924E5F"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 общее собрание акционеров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 xml:space="preserve">2.2. </w:t>
            </w:r>
            <w:r w:rsidR="003A5BA9" w:rsidRPr="00924E5F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проведения общего собрания участников (акционеров) эмитента: </w:t>
            </w:r>
          </w:p>
          <w:p w:rsidR="00924E5F" w:rsidRPr="00924E5F" w:rsidRDefault="00544823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4823">
              <w:rPr>
                <w:rFonts w:ascii="Times New Roman" w:hAnsi="Times New Roman"/>
                <w:b/>
                <w:sz w:val="20"/>
                <w:szCs w:val="20"/>
              </w:rPr>
              <w:t xml:space="preserve">Заочное голосование 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 xml:space="preserve">2.3. </w:t>
            </w:r>
            <w:r w:rsidR="003A5BA9" w:rsidRPr="00924E5F">
              <w:rPr>
                <w:rFonts w:ascii="Times New Roman" w:hAnsi="Times New Roman"/>
                <w:sz w:val="20"/>
                <w:szCs w:val="20"/>
              </w:rPr>
              <w:t>Дата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, место, время проведения </w:t>
            </w:r>
            <w:r w:rsidR="005B7D36">
              <w:rPr>
                <w:rFonts w:ascii="Times New Roman" w:hAnsi="Times New Roman"/>
                <w:sz w:val="20"/>
                <w:szCs w:val="20"/>
              </w:rPr>
              <w:t xml:space="preserve">повторного 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общего собрания участников (акционеров) эмитента,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"Интернет" - также адрес сайта в сети "Интернет", на котором заполняются электронные формы бюллетеней для голосования:   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Дата проведения </w:t>
            </w:r>
            <w:r w:rsidR="005B7D36" w:rsidRPr="005B7D36">
              <w:rPr>
                <w:rFonts w:ascii="Times New Roman" w:hAnsi="Times New Roman"/>
                <w:b/>
                <w:sz w:val="20"/>
                <w:szCs w:val="20"/>
              </w:rPr>
              <w:t xml:space="preserve">повторного </w:t>
            </w:r>
            <w:r w:rsidR="00544823">
              <w:rPr>
                <w:rFonts w:ascii="Times New Roman" w:hAnsi="Times New Roman"/>
                <w:b/>
                <w:sz w:val="20"/>
                <w:szCs w:val="20"/>
              </w:rPr>
              <w:t>годового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 общего собрания акционеров ПАО «Фармсинтез»: </w:t>
            </w:r>
            <w:r w:rsidR="005B7D36">
              <w:rPr>
                <w:rFonts w:ascii="Times New Roman" w:hAnsi="Times New Roman"/>
                <w:b/>
                <w:sz w:val="20"/>
                <w:szCs w:val="20"/>
              </w:rPr>
              <w:t>03 августа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 w:rsidR="00CD06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Почтовые адреса, по которым могут быть направлены заполненные бюллетени для голосования: 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- Российская Федерация, 197110, г. Санкт-Петербург, улица Корпусная, д. 9, литер А, 1 этаж, ПАО</w:t>
            </w:r>
            <w:r w:rsidR="0054482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«Фармсинтез».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- Российская Федерация, </w:t>
            </w:r>
            <w:r w:rsidR="00CD068F" w:rsidRPr="00CD068F">
              <w:rPr>
                <w:rFonts w:ascii="Times New Roman" w:hAnsi="Times New Roman"/>
                <w:b/>
                <w:sz w:val="20"/>
                <w:szCs w:val="20"/>
              </w:rPr>
              <w:t xml:space="preserve">188663, Ленинградская обл., Всеволожский муниципальный район, </w:t>
            </w:r>
            <w:proofErr w:type="spellStart"/>
            <w:r w:rsidR="00CD068F" w:rsidRPr="00CD068F">
              <w:rPr>
                <w:rFonts w:ascii="Times New Roman" w:hAnsi="Times New Roman"/>
                <w:b/>
                <w:sz w:val="20"/>
                <w:szCs w:val="20"/>
              </w:rPr>
              <w:t>Кузьмоловское</w:t>
            </w:r>
            <w:proofErr w:type="spellEnd"/>
            <w:r w:rsidR="00CD068F" w:rsidRPr="00CD068F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городское поселение, </w:t>
            </w:r>
            <w:proofErr w:type="spellStart"/>
            <w:r w:rsidR="00CD068F" w:rsidRPr="00CD068F">
              <w:rPr>
                <w:rFonts w:ascii="Times New Roman" w:hAnsi="Times New Roman"/>
                <w:b/>
                <w:sz w:val="20"/>
                <w:szCs w:val="20"/>
              </w:rPr>
              <w:t>гп</w:t>
            </w:r>
            <w:proofErr w:type="spellEnd"/>
            <w:r w:rsidR="00CD068F" w:rsidRPr="00CD068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CD068F" w:rsidRPr="00CD068F">
              <w:rPr>
                <w:rFonts w:ascii="Times New Roman" w:hAnsi="Times New Roman"/>
                <w:b/>
                <w:sz w:val="20"/>
                <w:szCs w:val="20"/>
              </w:rPr>
              <w:t>Кузьмоловский</w:t>
            </w:r>
            <w:proofErr w:type="spellEnd"/>
            <w:r w:rsidR="00CD068F" w:rsidRPr="00CD068F">
              <w:rPr>
                <w:rFonts w:ascii="Times New Roman" w:hAnsi="Times New Roman"/>
                <w:b/>
                <w:sz w:val="20"/>
                <w:szCs w:val="20"/>
              </w:rPr>
              <w:t>, ул. Заводская, здание 3, корпус 134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, ПАО</w:t>
            </w:r>
            <w:r w:rsidR="00CD06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«Фармсинтез».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>2.</w:t>
            </w:r>
            <w:r w:rsidR="00544823">
              <w:rPr>
                <w:rFonts w:ascii="Times New Roman" w:hAnsi="Times New Roman"/>
                <w:sz w:val="20"/>
                <w:szCs w:val="20"/>
              </w:rPr>
              <w:t>4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A5BA9" w:rsidRPr="00924E5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окончания приема бюллетеней для голосования (в случае проведения общего собрания в форме заочного голосования): </w:t>
            </w:r>
            <w:r w:rsidR="00544823" w:rsidRPr="00544823"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5B7D36" w:rsidRPr="005B7D36">
              <w:rPr>
                <w:rFonts w:ascii="Times New Roman" w:hAnsi="Times New Roman"/>
                <w:b/>
                <w:sz w:val="20"/>
                <w:szCs w:val="20"/>
              </w:rPr>
              <w:t xml:space="preserve">03 августа </w:t>
            </w:r>
            <w:r w:rsidR="00544823" w:rsidRPr="00544823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CD06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44823" w:rsidRPr="00544823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>2.</w:t>
            </w:r>
            <w:r w:rsidR="00544823">
              <w:rPr>
                <w:rFonts w:ascii="Times New Roman" w:hAnsi="Times New Roman"/>
                <w:sz w:val="20"/>
                <w:szCs w:val="20"/>
              </w:rPr>
              <w:t>5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A5BA9" w:rsidRPr="00924E5F">
              <w:rPr>
                <w:rFonts w:ascii="Times New Roman" w:hAnsi="Times New Roman"/>
                <w:sz w:val="20"/>
                <w:szCs w:val="20"/>
              </w:rPr>
              <w:t>Дата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, на которую определяются (фиксируются) лица, имеющие право на участие в общем собрании участников (акционеров) эмитента: </w:t>
            </w:r>
            <w:r w:rsidR="00544823" w:rsidRPr="0054482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05 июня </w:t>
            </w:r>
            <w:r w:rsidR="00544823" w:rsidRPr="00544823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CD06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44823" w:rsidRPr="005448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44823">
              <w:rPr>
                <w:rFonts w:ascii="Times New Roman" w:hAnsi="Times New Roman"/>
                <w:b/>
                <w:sz w:val="20"/>
                <w:szCs w:val="20"/>
              </w:rPr>
              <w:t>года.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>2.</w:t>
            </w:r>
            <w:r w:rsidR="00544823">
              <w:rPr>
                <w:rFonts w:ascii="Times New Roman" w:hAnsi="Times New Roman"/>
                <w:sz w:val="20"/>
                <w:szCs w:val="20"/>
              </w:rPr>
              <w:t>6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A5BA9" w:rsidRPr="00924E5F">
              <w:rPr>
                <w:rFonts w:ascii="Times New Roman" w:hAnsi="Times New Roman"/>
                <w:sz w:val="20"/>
                <w:szCs w:val="20"/>
              </w:rPr>
              <w:t xml:space="preserve">Повестка 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дня </w:t>
            </w:r>
            <w:r w:rsidR="005B7D36" w:rsidRPr="005B7D36">
              <w:rPr>
                <w:rFonts w:ascii="Times New Roman" w:hAnsi="Times New Roman"/>
                <w:sz w:val="20"/>
                <w:szCs w:val="20"/>
              </w:rPr>
              <w:t xml:space="preserve">повторного 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>общего собрания у</w:t>
            </w:r>
            <w:r w:rsidR="00994761">
              <w:rPr>
                <w:rFonts w:ascii="Times New Roman" w:hAnsi="Times New Roman"/>
                <w:sz w:val="20"/>
                <w:szCs w:val="20"/>
              </w:rPr>
              <w:t>частников (акционеров) эмитента:</w:t>
            </w:r>
          </w:p>
          <w:p w:rsidR="00BD13E0" w:rsidRPr="00BD13E0" w:rsidRDefault="00BD13E0" w:rsidP="00BD13E0">
            <w:pPr>
              <w:widowControl w:val="0"/>
              <w:tabs>
                <w:tab w:val="left" w:pos="1276"/>
              </w:tabs>
              <w:autoSpaceDE/>
              <w:autoSpaceDN/>
              <w:ind w:left="109" w:right="289" w:hanging="1"/>
              <w:jc w:val="both"/>
              <w:rPr>
                <w:color w:val="000000"/>
                <w:szCs w:val="18"/>
              </w:rPr>
            </w:pPr>
            <w:r w:rsidRPr="00BD13E0">
              <w:rPr>
                <w:b/>
                <w:color w:val="000000"/>
                <w:szCs w:val="18"/>
                <w:u w:val="single"/>
              </w:rPr>
              <w:t>Вопрос № 1:</w:t>
            </w:r>
            <w:r w:rsidRPr="00BD13E0">
              <w:rPr>
                <w:color w:val="000000"/>
                <w:szCs w:val="18"/>
              </w:rPr>
              <w:t xml:space="preserve"> </w:t>
            </w:r>
          </w:p>
          <w:p w:rsidR="00BD13E0" w:rsidRPr="00BD13E0" w:rsidRDefault="00BD13E0" w:rsidP="00BD13E0">
            <w:pPr>
              <w:widowControl w:val="0"/>
              <w:tabs>
                <w:tab w:val="left" w:pos="1276"/>
              </w:tabs>
              <w:autoSpaceDE/>
              <w:autoSpaceDN/>
              <w:ind w:left="109" w:right="289" w:hanging="1"/>
              <w:jc w:val="both"/>
              <w:rPr>
                <w:color w:val="000000"/>
                <w:szCs w:val="18"/>
              </w:rPr>
            </w:pPr>
            <w:r w:rsidRPr="00BD13E0">
              <w:rPr>
                <w:szCs w:val="18"/>
              </w:rPr>
              <w:t xml:space="preserve">Об утверждении годового отчета Общества за 2022 год. </w:t>
            </w:r>
          </w:p>
          <w:p w:rsidR="00BD13E0" w:rsidRPr="00BD13E0" w:rsidRDefault="00BD13E0" w:rsidP="00BD13E0">
            <w:pPr>
              <w:widowControl w:val="0"/>
              <w:tabs>
                <w:tab w:val="left" w:pos="1276"/>
              </w:tabs>
              <w:autoSpaceDE/>
              <w:autoSpaceDN/>
              <w:ind w:left="109" w:right="289" w:hanging="1"/>
              <w:jc w:val="both"/>
              <w:rPr>
                <w:color w:val="000000"/>
                <w:szCs w:val="18"/>
              </w:rPr>
            </w:pPr>
            <w:r w:rsidRPr="00BD13E0">
              <w:rPr>
                <w:b/>
                <w:color w:val="000000"/>
                <w:szCs w:val="18"/>
                <w:u w:val="single"/>
              </w:rPr>
              <w:t>Вопрос № 2:</w:t>
            </w:r>
            <w:r w:rsidRPr="00BD13E0">
              <w:rPr>
                <w:color w:val="000000"/>
                <w:szCs w:val="18"/>
              </w:rPr>
              <w:t xml:space="preserve"> </w:t>
            </w:r>
          </w:p>
          <w:p w:rsidR="00BD13E0" w:rsidRPr="00BD13E0" w:rsidRDefault="00BD13E0" w:rsidP="00BD13E0">
            <w:pPr>
              <w:widowControl w:val="0"/>
              <w:tabs>
                <w:tab w:val="left" w:pos="1276"/>
              </w:tabs>
              <w:autoSpaceDE/>
              <w:autoSpaceDN/>
              <w:ind w:left="109" w:right="289" w:hanging="1"/>
              <w:jc w:val="both"/>
              <w:rPr>
                <w:color w:val="000000"/>
                <w:szCs w:val="18"/>
              </w:rPr>
            </w:pPr>
            <w:r w:rsidRPr="00BD13E0">
              <w:rPr>
                <w:szCs w:val="18"/>
              </w:rPr>
              <w:t xml:space="preserve">Об утверждении годовой бухгалтерской отчетности Общества за 2022 год, в том числе отчета о финансовых результатах Общества за </w:t>
            </w:r>
            <w:r w:rsidRPr="00BD13E0">
              <w:t xml:space="preserve">2022 </w:t>
            </w:r>
            <w:r w:rsidRPr="00BD13E0">
              <w:rPr>
                <w:szCs w:val="18"/>
              </w:rPr>
              <w:t>год.</w:t>
            </w:r>
          </w:p>
          <w:p w:rsidR="00BD13E0" w:rsidRPr="00BD13E0" w:rsidRDefault="00BD13E0" w:rsidP="00BD13E0">
            <w:pPr>
              <w:widowControl w:val="0"/>
              <w:tabs>
                <w:tab w:val="left" w:pos="1276"/>
              </w:tabs>
              <w:autoSpaceDE/>
              <w:autoSpaceDN/>
              <w:ind w:left="109" w:right="289"/>
              <w:jc w:val="both"/>
              <w:rPr>
                <w:color w:val="000000"/>
              </w:rPr>
            </w:pPr>
            <w:r w:rsidRPr="00BD13E0">
              <w:rPr>
                <w:b/>
                <w:color w:val="000000"/>
                <w:u w:val="single"/>
              </w:rPr>
              <w:t>Вопрос № 3:</w:t>
            </w:r>
            <w:r w:rsidRPr="00BD13E0">
              <w:rPr>
                <w:color w:val="000000"/>
              </w:rPr>
              <w:t xml:space="preserve"> </w:t>
            </w:r>
          </w:p>
          <w:p w:rsidR="00BD13E0" w:rsidRPr="00BD13E0" w:rsidRDefault="00BD13E0" w:rsidP="00BD13E0">
            <w:pPr>
              <w:widowControl w:val="0"/>
              <w:adjustRightInd w:val="0"/>
              <w:ind w:left="109" w:right="289"/>
              <w:jc w:val="both"/>
              <w:rPr>
                <w:rFonts w:eastAsia="Calibri"/>
                <w:color w:val="000000"/>
                <w:szCs w:val="18"/>
              </w:rPr>
            </w:pPr>
            <w:r w:rsidRPr="00BD13E0">
              <w:rPr>
                <w:rFonts w:eastAsia="Calibri"/>
                <w:color w:val="000000"/>
                <w:szCs w:val="18"/>
              </w:rPr>
              <w:t>О распределении прибыли (в том числе выплате (объявлении) дивидендов) и убытков Общества по результатам 2022 года.</w:t>
            </w:r>
          </w:p>
          <w:p w:rsidR="00BD13E0" w:rsidRPr="00BD13E0" w:rsidRDefault="00BD13E0" w:rsidP="00BD13E0">
            <w:pPr>
              <w:widowControl w:val="0"/>
              <w:tabs>
                <w:tab w:val="left" w:pos="1276"/>
              </w:tabs>
              <w:autoSpaceDE/>
              <w:autoSpaceDN/>
              <w:ind w:left="109" w:right="289"/>
              <w:jc w:val="both"/>
              <w:rPr>
                <w:color w:val="000000"/>
                <w:szCs w:val="18"/>
              </w:rPr>
            </w:pPr>
            <w:r w:rsidRPr="00BD13E0">
              <w:rPr>
                <w:b/>
                <w:color w:val="000000"/>
                <w:szCs w:val="18"/>
                <w:u w:val="single"/>
              </w:rPr>
              <w:t>Вопрос № 4:</w:t>
            </w:r>
            <w:r w:rsidRPr="00BD13E0">
              <w:rPr>
                <w:color w:val="000000"/>
                <w:szCs w:val="18"/>
              </w:rPr>
              <w:t xml:space="preserve"> </w:t>
            </w:r>
          </w:p>
          <w:p w:rsidR="00BD13E0" w:rsidRPr="00BD13E0" w:rsidRDefault="00BD13E0" w:rsidP="00BD13E0">
            <w:pPr>
              <w:widowControl w:val="0"/>
              <w:tabs>
                <w:tab w:val="left" w:pos="1276"/>
              </w:tabs>
              <w:autoSpaceDE/>
              <w:autoSpaceDN/>
              <w:ind w:left="109" w:right="289"/>
              <w:jc w:val="both"/>
              <w:rPr>
                <w:color w:val="000000"/>
                <w:szCs w:val="18"/>
              </w:rPr>
            </w:pPr>
            <w:r w:rsidRPr="00BD13E0">
              <w:rPr>
                <w:color w:val="000000"/>
                <w:szCs w:val="18"/>
              </w:rPr>
              <w:t>Об избрании членов Совета директоров Общества.</w:t>
            </w:r>
          </w:p>
          <w:p w:rsidR="00BD13E0" w:rsidRPr="00BD13E0" w:rsidRDefault="00BD13E0" w:rsidP="00BD13E0">
            <w:pPr>
              <w:widowControl w:val="0"/>
              <w:tabs>
                <w:tab w:val="left" w:pos="1276"/>
              </w:tabs>
              <w:autoSpaceDE/>
              <w:autoSpaceDN/>
              <w:ind w:left="109" w:right="289"/>
              <w:jc w:val="both"/>
              <w:rPr>
                <w:color w:val="000000"/>
                <w:szCs w:val="18"/>
              </w:rPr>
            </w:pPr>
            <w:r w:rsidRPr="00BD13E0">
              <w:rPr>
                <w:b/>
                <w:color w:val="000000"/>
                <w:szCs w:val="18"/>
                <w:u w:val="single"/>
              </w:rPr>
              <w:t>Вопрос № 5:</w:t>
            </w:r>
            <w:r w:rsidRPr="00BD13E0">
              <w:rPr>
                <w:color w:val="000000"/>
                <w:szCs w:val="18"/>
              </w:rPr>
              <w:t xml:space="preserve">  </w:t>
            </w:r>
          </w:p>
          <w:p w:rsidR="00BD13E0" w:rsidRPr="00BD13E0" w:rsidRDefault="00FA5629" w:rsidP="00BD13E0">
            <w:pPr>
              <w:widowControl w:val="0"/>
              <w:tabs>
                <w:tab w:val="left" w:pos="1276"/>
              </w:tabs>
              <w:autoSpaceDE/>
              <w:autoSpaceDN/>
              <w:ind w:left="109" w:right="289"/>
              <w:jc w:val="both"/>
              <w:rPr>
                <w:color w:val="000000"/>
                <w:szCs w:val="18"/>
              </w:rPr>
            </w:pPr>
            <w:r w:rsidRPr="00FA5629">
              <w:rPr>
                <w:color w:val="000000"/>
                <w:szCs w:val="18"/>
              </w:rPr>
              <w:t>Об утверждении аудитора Общества и определении размера оплаты его услуг</w:t>
            </w:r>
            <w:r w:rsidR="00BD13E0" w:rsidRPr="00BD13E0">
              <w:rPr>
                <w:color w:val="000000"/>
                <w:szCs w:val="18"/>
              </w:rPr>
              <w:t>.</w:t>
            </w:r>
          </w:p>
          <w:p w:rsidR="00BD13E0" w:rsidRPr="00BD13E0" w:rsidRDefault="00BD13E0" w:rsidP="00BD13E0">
            <w:pPr>
              <w:widowControl w:val="0"/>
              <w:autoSpaceDE/>
              <w:autoSpaceDN/>
              <w:ind w:left="109" w:right="289"/>
              <w:jc w:val="both"/>
              <w:rPr>
                <w:color w:val="000000"/>
                <w:szCs w:val="18"/>
              </w:rPr>
            </w:pPr>
            <w:r w:rsidRPr="00BD13E0">
              <w:rPr>
                <w:b/>
                <w:color w:val="000000"/>
                <w:szCs w:val="18"/>
                <w:u w:val="single"/>
              </w:rPr>
              <w:t>Вопрос № 6:</w:t>
            </w:r>
            <w:r w:rsidRPr="00BD13E0">
              <w:rPr>
                <w:color w:val="000000"/>
                <w:szCs w:val="18"/>
              </w:rPr>
              <w:t xml:space="preserve"> </w:t>
            </w:r>
          </w:p>
          <w:p w:rsidR="00BD13E0" w:rsidRPr="00BD13E0" w:rsidRDefault="00BD13E0" w:rsidP="00BD13E0">
            <w:pPr>
              <w:widowControl w:val="0"/>
              <w:tabs>
                <w:tab w:val="left" w:pos="1276"/>
              </w:tabs>
              <w:autoSpaceDE/>
              <w:autoSpaceDN/>
              <w:ind w:left="109" w:right="289"/>
              <w:jc w:val="both"/>
              <w:rPr>
                <w:color w:val="000000"/>
                <w:szCs w:val="18"/>
              </w:rPr>
            </w:pPr>
            <w:r w:rsidRPr="00BD13E0">
              <w:rPr>
                <w:color w:val="000000"/>
                <w:szCs w:val="18"/>
              </w:rPr>
              <w:t>Об избрании членов Ревизионной комиссии Общества.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>2.</w:t>
            </w:r>
            <w:r w:rsidR="00544823">
              <w:rPr>
                <w:rFonts w:ascii="Times New Roman" w:hAnsi="Times New Roman"/>
                <w:sz w:val="20"/>
                <w:szCs w:val="20"/>
              </w:rPr>
              <w:t>7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A5BA9" w:rsidRPr="00924E5F">
              <w:rPr>
                <w:rFonts w:ascii="Times New Roman" w:hAnsi="Times New Roman"/>
                <w:sz w:val="20"/>
                <w:szCs w:val="20"/>
              </w:rPr>
              <w:t xml:space="preserve">Порядок 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ознакомления с информацией (материалами), подлежащей предоставлению при подготовке к проведению </w:t>
            </w:r>
            <w:r w:rsidR="005B7D36" w:rsidRPr="005B7D36">
              <w:rPr>
                <w:rFonts w:ascii="Times New Roman" w:hAnsi="Times New Roman"/>
                <w:sz w:val="20"/>
                <w:szCs w:val="20"/>
              </w:rPr>
              <w:t xml:space="preserve">повторного 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>общего собрания участников (акционеров) эмитента, и адрес, по которому с ней можно ознакомиться:</w:t>
            </w:r>
          </w:p>
          <w:p w:rsidR="00924E5F" w:rsidRPr="00924E5F" w:rsidRDefault="00B5698A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698A">
              <w:rPr>
                <w:rFonts w:ascii="Times New Roman" w:hAnsi="Times New Roman"/>
                <w:b/>
                <w:sz w:val="20"/>
                <w:szCs w:val="20"/>
              </w:rPr>
              <w:t xml:space="preserve">С информацией (материалами), лица, имеющие право на участие в </w:t>
            </w:r>
            <w:r w:rsidR="000C1697" w:rsidRPr="000C1697">
              <w:rPr>
                <w:rFonts w:ascii="Times New Roman" w:hAnsi="Times New Roman"/>
                <w:b/>
                <w:sz w:val="20"/>
                <w:szCs w:val="20"/>
              </w:rPr>
              <w:t>повторно</w:t>
            </w:r>
            <w:r w:rsidR="000C1697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0C1697" w:rsidRPr="000C16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698A">
              <w:rPr>
                <w:rFonts w:ascii="Times New Roman" w:hAnsi="Times New Roman"/>
                <w:b/>
                <w:sz w:val="20"/>
                <w:szCs w:val="20"/>
              </w:rPr>
              <w:t xml:space="preserve">годовом Общем собрании акционеров Общества, могут ознакомиться с </w:t>
            </w:r>
            <w:r w:rsidR="005B7D36">
              <w:rPr>
                <w:rFonts w:ascii="Times New Roman" w:hAnsi="Times New Roman"/>
                <w:b/>
                <w:sz w:val="20"/>
                <w:szCs w:val="20"/>
              </w:rPr>
              <w:t>12 июл</w:t>
            </w:r>
            <w:r w:rsidRPr="00B5698A">
              <w:rPr>
                <w:rFonts w:ascii="Times New Roman" w:hAnsi="Times New Roman"/>
                <w:b/>
                <w:sz w:val="20"/>
                <w:szCs w:val="20"/>
              </w:rPr>
              <w:t>я 202</w:t>
            </w:r>
            <w:r w:rsidR="00CD06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5698A">
              <w:rPr>
                <w:rFonts w:ascii="Times New Roman" w:hAnsi="Times New Roman"/>
                <w:b/>
                <w:sz w:val="20"/>
                <w:szCs w:val="20"/>
              </w:rPr>
              <w:t xml:space="preserve"> года до проведения </w:t>
            </w:r>
            <w:r w:rsidR="000C1697" w:rsidRPr="000C1697">
              <w:rPr>
                <w:rFonts w:ascii="Times New Roman" w:hAnsi="Times New Roman"/>
                <w:b/>
                <w:sz w:val="20"/>
                <w:szCs w:val="20"/>
              </w:rPr>
              <w:t xml:space="preserve">повторного </w:t>
            </w:r>
            <w:r w:rsidRPr="00B5698A">
              <w:rPr>
                <w:rFonts w:ascii="Times New Roman" w:hAnsi="Times New Roman"/>
                <w:b/>
                <w:sz w:val="20"/>
                <w:szCs w:val="20"/>
              </w:rPr>
              <w:t xml:space="preserve">годового общего собрания акционеров в рабочие дни Общества с 09 часов 30 минут до 17 часов 30 минут по </w:t>
            </w:r>
            <w:r w:rsidRPr="00B569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московскому времени по следующему адресу: Российская Федерация, 197110, г. Санкт-Петербург, улица Корпусная, д. 9, литер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>2.</w:t>
            </w:r>
            <w:r w:rsidR="00544823">
              <w:rPr>
                <w:rFonts w:ascii="Times New Roman" w:hAnsi="Times New Roman"/>
                <w:sz w:val="20"/>
                <w:szCs w:val="20"/>
              </w:rPr>
              <w:t>8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A5BA9" w:rsidRPr="00924E5F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ценных бумаг (акции), категория (тип) и иные идентификационные признаки акций, указанные в решении о выпуске таких акций, владельцы которых имеют право на участие в общем собрании акционеров эмитента: 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698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акции обыкновенные именные бездокументарные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B5698A"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регистрационный номер выпуска: 1-02-09669-J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B5698A"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государственной регистрации: 09.08.2004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- международный код (номер) идентификации ценных бумаг (ISIN) – </w:t>
            </w:r>
            <w:r w:rsidR="00BC6B40" w:rsidRPr="00BC6B40">
              <w:rPr>
                <w:rFonts w:ascii="Times New Roman" w:hAnsi="Times New Roman"/>
                <w:b/>
                <w:sz w:val="20"/>
                <w:szCs w:val="20"/>
              </w:rPr>
              <w:t>RU000A0JR514</w:t>
            </w:r>
          </w:p>
          <w:p w:rsidR="00B5698A" w:rsidRPr="00924E5F" w:rsidRDefault="00924E5F" w:rsidP="009A63AA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E5F">
              <w:rPr>
                <w:rFonts w:ascii="Times New Roman" w:hAnsi="Times New Roman"/>
                <w:sz w:val="20"/>
                <w:szCs w:val="20"/>
              </w:rPr>
              <w:t>2.</w:t>
            </w:r>
            <w:r w:rsidR="00544823">
              <w:rPr>
                <w:rFonts w:ascii="Times New Roman" w:hAnsi="Times New Roman"/>
                <w:sz w:val="20"/>
                <w:szCs w:val="20"/>
              </w:rPr>
              <w:t>9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A5BA9" w:rsidRPr="00924E5F">
              <w:rPr>
                <w:rFonts w:ascii="Times New Roman" w:hAnsi="Times New Roman"/>
                <w:sz w:val="20"/>
                <w:szCs w:val="20"/>
              </w:rPr>
              <w:t xml:space="preserve">Лицо 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или орган управления эмитента, принявшее (принявший) решение о созыве </w:t>
            </w:r>
            <w:r w:rsidR="005B7D36" w:rsidRPr="005B7D36">
              <w:rPr>
                <w:rFonts w:ascii="Times New Roman" w:hAnsi="Times New Roman"/>
                <w:sz w:val="20"/>
                <w:szCs w:val="20"/>
              </w:rPr>
              <w:t xml:space="preserve">повторного </w:t>
            </w:r>
            <w:r w:rsidRPr="00924E5F">
              <w:rPr>
                <w:rFonts w:ascii="Times New Roman" w:hAnsi="Times New Roman"/>
                <w:sz w:val="20"/>
                <w:szCs w:val="20"/>
              </w:rPr>
              <w:t xml:space="preserve">общего собрания участников (акционеров) эмитента, и дата принятия решения, а если таким органом эмитента является его коллегиальный исполнительный орган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 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заседание Совета директоров ПАО «Фармсинтез» от </w:t>
            </w:r>
            <w:r w:rsidR="00FA56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B7D3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5698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B7D3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BC6B4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 xml:space="preserve">, протокол заседания Совета директоров ПАО «Фармсинтез» от </w:t>
            </w:r>
            <w:r w:rsidR="00ED3E9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5B7D36" w:rsidRPr="005B7D36">
              <w:rPr>
                <w:rFonts w:ascii="Times New Roman" w:hAnsi="Times New Roman"/>
                <w:b/>
                <w:sz w:val="20"/>
                <w:szCs w:val="20"/>
              </w:rPr>
              <w:t>.07.2023</w:t>
            </w:r>
            <w:r w:rsidR="005B7D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E5F">
              <w:rPr>
                <w:rFonts w:ascii="Times New Roman" w:hAnsi="Times New Roman"/>
                <w:b/>
                <w:sz w:val="20"/>
                <w:szCs w:val="20"/>
              </w:rPr>
              <w:t>б/н</w:t>
            </w:r>
            <w:r w:rsidR="00BC6B4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24E5F" w:rsidRPr="00924E5F" w:rsidRDefault="00924E5F" w:rsidP="00924E5F">
            <w:pPr>
              <w:pStyle w:val="a3"/>
              <w:spacing w:line="276" w:lineRule="auto"/>
              <w:ind w:left="78" w:right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751062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751062"/>
        </w:tc>
      </w:tr>
      <w:tr w:rsidR="005C589D" w:rsidRPr="000553C5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751062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751062"/>
        </w:tc>
      </w:tr>
      <w:tr w:rsidR="005C589D" w:rsidRPr="00C84D40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ED3E92" w:rsidP="005B7D36">
            <w:pPr>
              <w:jc w:val="center"/>
            </w:pPr>
            <w: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B7D36" w:rsidP="00FA5629">
            <w:pPr>
              <w:jc w:val="center"/>
            </w:pPr>
            <w:r>
              <w:t>июл</w:t>
            </w:r>
            <w:r w:rsidR="001A4FCD"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BC6B40">
            <w:r>
              <w:t>2</w:t>
            </w:r>
            <w:r w:rsidR="00BC6B40"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751062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751062"/>
        </w:tc>
      </w:tr>
      <w:tr w:rsidR="005C589D" w:rsidRPr="00C84D40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751062"/>
        </w:tc>
      </w:tr>
    </w:tbl>
    <w:p w:rsidR="005C589D" w:rsidRPr="00C84D40" w:rsidRDefault="005C589D" w:rsidP="005C589D"/>
    <w:p w:rsidR="000C5322" w:rsidRDefault="000C5322"/>
    <w:sectPr w:rsidR="000C5322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C1697"/>
    <w:rsid w:val="000C5322"/>
    <w:rsid w:val="000E7F45"/>
    <w:rsid w:val="00107F42"/>
    <w:rsid w:val="001A4FCD"/>
    <w:rsid w:val="0022365A"/>
    <w:rsid w:val="002B4D4A"/>
    <w:rsid w:val="002D5F36"/>
    <w:rsid w:val="002F0584"/>
    <w:rsid w:val="003A5BA9"/>
    <w:rsid w:val="00406E64"/>
    <w:rsid w:val="00497AB2"/>
    <w:rsid w:val="004F10D8"/>
    <w:rsid w:val="00544823"/>
    <w:rsid w:val="005B7D36"/>
    <w:rsid w:val="005C589D"/>
    <w:rsid w:val="00621DFF"/>
    <w:rsid w:val="00626785"/>
    <w:rsid w:val="006279A5"/>
    <w:rsid w:val="006431D0"/>
    <w:rsid w:val="006652B3"/>
    <w:rsid w:val="00683C03"/>
    <w:rsid w:val="00704A18"/>
    <w:rsid w:val="00705F52"/>
    <w:rsid w:val="00751062"/>
    <w:rsid w:val="008D052A"/>
    <w:rsid w:val="00924E5F"/>
    <w:rsid w:val="00941E62"/>
    <w:rsid w:val="00994761"/>
    <w:rsid w:val="009A63AA"/>
    <w:rsid w:val="009D2465"/>
    <w:rsid w:val="00B00901"/>
    <w:rsid w:val="00B10831"/>
    <w:rsid w:val="00B124A0"/>
    <w:rsid w:val="00B5698A"/>
    <w:rsid w:val="00B9081A"/>
    <w:rsid w:val="00BC6B40"/>
    <w:rsid w:val="00BD13E0"/>
    <w:rsid w:val="00C325B6"/>
    <w:rsid w:val="00C67225"/>
    <w:rsid w:val="00C75528"/>
    <w:rsid w:val="00CD068F"/>
    <w:rsid w:val="00D66544"/>
    <w:rsid w:val="00E136B7"/>
    <w:rsid w:val="00E50BB2"/>
    <w:rsid w:val="00ED3E92"/>
    <w:rsid w:val="00F77646"/>
    <w:rsid w:val="00FA5629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924E5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1CC4-D577-4595-A4DA-D4A8D2A1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2022-03-03T15:22:00Z</dcterms:created>
  <dcterms:modified xsi:type="dcterms:W3CDTF">2023-07-10T10:40:00Z</dcterms:modified>
</cp:coreProperties>
</file>