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70732" w14:textId="1F617BC6" w:rsidR="001821D4" w:rsidRPr="00075B1D" w:rsidRDefault="005D5688" w:rsidP="0013107F">
      <w:pPr>
        <w:tabs>
          <w:tab w:val="left" w:pos="3261"/>
        </w:tabs>
        <w:autoSpaceDE w:val="0"/>
        <w:autoSpaceDN w:val="0"/>
        <w:spacing w:after="240"/>
        <w:ind w:right="48"/>
        <w:jc w:val="center"/>
        <w:rPr>
          <w:rFonts w:eastAsiaTheme="minorEastAsia"/>
          <w:b/>
          <w:bCs/>
        </w:rPr>
      </w:pPr>
      <w:r w:rsidRPr="00075B1D">
        <w:rPr>
          <w:rFonts w:eastAsiaTheme="minorEastAsia"/>
          <w:b/>
          <w:bCs/>
        </w:rPr>
        <w:t xml:space="preserve">Сообщение </w:t>
      </w:r>
      <w:r w:rsidR="00E62559" w:rsidRPr="00075B1D">
        <w:rPr>
          <w:rFonts w:eastAsiaTheme="minorEastAsia"/>
          <w:b/>
          <w:bCs/>
        </w:rPr>
        <w:t>об иных событиях (действиях), оказывающих, по мнению эмитента, существенное влияние на стоимость или котировки его ценных бумаг</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075B1D" w:rsidRPr="00075B1D" w14:paraId="6DCE4B34" w14:textId="77777777" w:rsidTr="00111985">
        <w:trPr>
          <w:cantSplit/>
        </w:trPr>
        <w:tc>
          <w:tcPr>
            <w:tcW w:w="9979" w:type="dxa"/>
            <w:gridSpan w:val="2"/>
          </w:tcPr>
          <w:p w14:paraId="72F64BFE" w14:textId="77777777" w:rsidR="00533A42" w:rsidRPr="00075B1D" w:rsidRDefault="00533A42" w:rsidP="00111985">
            <w:pPr>
              <w:jc w:val="center"/>
            </w:pPr>
            <w:r w:rsidRPr="00075B1D">
              <w:t>1. Общие сведения</w:t>
            </w:r>
          </w:p>
        </w:tc>
      </w:tr>
      <w:tr w:rsidR="00075B1D" w:rsidRPr="00075B1D" w14:paraId="036BF115" w14:textId="77777777" w:rsidTr="008C110E">
        <w:tc>
          <w:tcPr>
            <w:tcW w:w="4933" w:type="dxa"/>
          </w:tcPr>
          <w:p w14:paraId="1E27F484" w14:textId="77777777" w:rsidR="00533A42" w:rsidRPr="00075B1D" w:rsidRDefault="00533A42" w:rsidP="00111985">
            <w:pPr>
              <w:ind w:right="57"/>
              <w:jc w:val="both"/>
            </w:pPr>
            <w:r w:rsidRPr="00075B1D">
              <w:t>1.1. Полное фирменное наименование эмитента (для некоммерческой организации – наименование)</w:t>
            </w:r>
          </w:p>
        </w:tc>
        <w:tc>
          <w:tcPr>
            <w:tcW w:w="5046" w:type="dxa"/>
            <w:vAlign w:val="center"/>
          </w:tcPr>
          <w:p w14:paraId="7DDC31B5" w14:textId="34CBF51E" w:rsidR="00533A42" w:rsidRPr="00075B1D" w:rsidRDefault="00533A42" w:rsidP="008C110E">
            <w:pPr>
              <w:ind w:left="57" w:right="57"/>
            </w:pPr>
            <w:r w:rsidRPr="00075B1D">
              <w:t xml:space="preserve">Публичное акционерное общество «Фармсинтез» </w:t>
            </w:r>
          </w:p>
        </w:tc>
      </w:tr>
      <w:tr w:rsidR="00075B1D" w:rsidRPr="00075B1D" w14:paraId="5C0E3B7E" w14:textId="77777777" w:rsidTr="008C110E">
        <w:tc>
          <w:tcPr>
            <w:tcW w:w="4933" w:type="dxa"/>
          </w:tcPr>
          <w:p w14:paraId="5F0C5DB6" w14:textId="77777777" w:rsidR="00533A42" w:rsidRPr="00075B1D" w:rsidRDefault="00533A42" w:rsidP="00111985">
            <w:pPr>
              <w:shd w:val="clear" w:color="auto" w:fill="FFFFFF"/>
            </w:pPr>
            <w:r w:rsidRPr="00075B1D">
              <w:t>1.2. Адрес эмитента, указанный в едином государственном реестре юридических лиц:</w:t>
            </w:r>
          </w:p>
          <w:p w14:paraId="7873F9F6" w14:textId="77777777" w:rsidR="00533A42" w:rsidRPr="00075B1D" w:rsidRDefault="00533A42" w:rsidP="00111985">
            <w:pPr>
              <w:ind w:left="57" w:right="57"/>
              <w:jc w:val="both"/>
            </w:pPr>
          </w:p>
        </w:tc>
        <w:tc>
          <w:tcPr>
            <w:tcW w:w="5046" w:type="dxa"/>
            <w:vAlign w:val="center"/>
          </w:tcPr>
          <w:p w14:paraId="14495352" w14:textId="77777777" w:rsidR="00533A42" w:rsidRPr="00075B1D" w:rsidRDefault="00533A42" w:rsidP="008C110E">
            <w:pPr>
              <w:ind w:left="57" w:right="57"/>
            </w:pPr>
            <w:r w:rsidRPr="00075B1D">
              <w:t xml:space="preserve">188663, Ленинградская область, р-н Всеволожский, </w:t>
            </w:r>
            <w:proofErr w:type="spellStart"/>
            <w:r w:rsidRPr="00075B1D">
              <w:t>гп</w:t>
            </w:r>
            <w:proofErr w:type="spellEnd"/>
            <w:r w:rsidRPr="00075B1D">
              <w:t xml:space="preserve"> </w:t>
            </w:r>
            <w:proofErr w:type="spellStart"/>
            <w:r w:rsidRPr="00075B1D">
              <w:t>Кузьмоловский</w:t>
            </w:r>
            <w:proofErr w:type="spellEnd"/>
            <w:r w:rsidRPr="00075B1D">
              <w:t>, станция Капитолово 134, литер 1</w:t>
            </w:r>
          </w:p>
        </w:tc>
      </w:tr>
      <w:tr w:rsidR="00075B1D" w:rsidRPr="00075B1D" w14:paraId="413E2FC9" w14:textId="77777777" w:rsidTr="008C110E">
        <w:tc>
          <w:tcPr>
            <w:tcW w:w="4933" w:type="dxa"/>
          </w:tcPr>
          <w:p w14:paraId="290D2E49" w14:textId="77777777" w:rsidR="00533A42" w:rsidRPr="00075B1D" w:rsidRDefault="00533A42" w:rsidP="00111985">
            <w:pPr>
              <w:ind w:left="57" w:right="57"/>
              <w:jc w:val="both"/>
            </w:pPr>
            <w:r w:rsidRPr="00075B1D">
              <w:t>1.3. ОГРН эмитента</w:t>
            </w:r>
          </w:p>
        </w:tc>
        <w:tc>
          <w:tcPr>
            <w:tcW w:w="5046" w:type="dxa"/>
            <w:vAlign w:val="center"/>
          </w:tcPr>
          <w:p w14:paraId="79B5745E" w14:textId="77777777" w:rsidR="00533A42" w:rsidRPr="00075B1D" w:rsidRDefault="00533A42" w:rsidP="008C110E">
            <w:pPr>
              <w:ind w:left="57" w:right="57"/>
            </w:pPr>
            <w:r w:rsidRPr="00075B1D">
              <w:t>1034700559189</w:t>
            </w:r>
          </w:p>
        </w:tc>
      </w:tr>
      <w:tr w:rsidR="00075B1D" w:rsidRPr="00075B1D" w14:paraId="15AD568D" w14:textId="77777777" w:rsidTr="008C110E">
        <w:tc>
          <w:tcPr>
            <w:tcW w:w="4933" w:type="dxa"/>
          </w:tcPr>
          <w:p w14:paraId="09BC12C1" w14:textId="77777777" w:rsidR="00533A42" w:rsidRPr="00075B1D" w:rsidRDefault="00533A42" w:rsidP="00111985">
            <w:pPr>
              <w:ind w:left="57" w:right="57"/>
              <w:jc w:val="both"/>
            </w:pPr>
            <w:r w:rsidRPr="00075B1D">
              <w:t>1.4. ИНН эмитента</w:t>
            </w:r>
          </w:p>
        </w:tc>
        <w:tc>
          <w:tcPr>
            <w:tcW w:w="5046" w:type="dxa"/>
            <w:vAlign w:val="center"/>
          </w:tcPr>
          <w:p w14:paraId="0F283CB3" w14:textId="77777777" w:rsidR="00533A42" w:rsidRPr="00075B1D" w:rsidRDefault="00533A42" w:rsidP="008C110E">
            <w:pPr>
              <w:ind w:left="57" w:right="57"/>
            </w:pPr>
            <w:r w:rsidRPr="00075B1D">
              <w:t>7801075160</w:t>
            </w:r>
          </w:p>
        </w:tc>
      </w:tr>
      <w:tr w:rsidR="00075B1D" w:rsidRPr="00075B1D" w14:paraId="69708B11" w14:textId="77777777" w:rsidTr="008C110E">
        <w:tc>
          <w:tcPr>
            <w:tcW w:w="4933" w:type="dxa"/>
          </w:tcPr>
          <w:p w14:paraId="35DE298D" w14:textId="77777777" w:rsidR="00533A42" w:rsidRPr="00075B1D" w:rsidRDefault="00533A42" w:rsidP="00111985">
            <w:pPr>
              <w:ind w:left="57" w:right="57"/>
              <w:jc w:val="both"/>
            </w:pPr>
            <w:r w:rsidRPr="00075B1D">
              <w:t>1.5. Уникальный код эмитента, присвоенный регистрирующим органом</w:t>
            </w:r>
          </w:p>
        </w:tc>
        <w:tc>
          <w:tcPr>
            <w:tcW w:w="5046" w:type="dxa"/>
            <w:vAlign w:val="center"/>
          </w:tcPr>
          <w:p w14:paraId="26ECE742" w14:textId="77777777" w:rsidR="00533A42" w:rsidRPr="00075B1D" w:rsidRDefault="00533A42" w:rsidP="008C110E">
            <w:pPr>
              <w:ind w:left="57" w:right="57"/>
            </w:pPr>
            <w:r w:rsidRPr="00075B1D">
              <w:t>09669-J</w:t>
            </w:r>
          </w:p>
        </w:tc>
      </w:tr>
      <w:tr w:rsidR="00075B1D" w:rsidRPr="00075B1D" w14:paraId="3C2E6F2F" w14:textId="77777777" w:rsidTr="008C110E">
        <w:tc>
          <w:tcPr>
            <w:tcW w:w="4933" w:type="dxa"/>
          </w:tcPr>
          <w:p w14:paraId="1D93FEF1" w14:textId="77777777" w:rsidR="00533A42" w:rsidRPr="00075B1D" w:rsidRDefault="00533A42" w:rsidP="00111985">
            <w:pPr>
              <w:ind w:left="57" w:right="57"/>
              <w:jc w:val="both"/>
            </w:pPr>
            <w:r w:rsidRPr="00075B1D">
              <w:t>1.6. Адрес страницы в сети Интернет, используемой эмитентом для раскрытия информации</w:t>
            </w:r>
          </w:p>
        </w:tc>
        <w:tc>
          <w:tcPr>
            <w:tcW w:w="5046" w:type="dxa"/>
            <w:vAlign w:val="center"/>
          </w:tcPr>
          <w:p w14:paraId="51A82F61" w14:textId="6937FC16" w:rsidR="00533A42" w:rsidRPr="00075B1D" w:rsidRDefault="00533A42" w:rsidP="008C110E">
            <w:pPr>
              <w:ind w:left="57" w:right="57"/>
            </w:pPr>
            <w:r w:rsidRPr="00075B1D">
              <w:t>http://www.e-disclosure.ru/portal/company.aspx?id=4378</w:t>
            </w:r>
            <w:r w:rsidR="008C110E" w:rsidRPr="00075B1D">
              <w:t>; http://www.pharmsynthez.com/</w:t>
            </w:r>
          </w:p>
        </w:tc>
      </w:tr>
      <w:tr w:rsidR="008C110E" w:rsidRPr="00075B1D" w14:paraId="62645756" w14:textId="77777777" w:rsidTr="008C110E">
        <w:tc>
          <w:tcPr>
            <w:tcW w:w="4933" w:type="dxa"/>
            <w:tcBorders>
              <w:top w:val="single" w:sz="4" w:space="0" w:color="auto"/>
              <w:left w:val="single" w:sz="4" w:space="0" w:color="auto"/>
              <w:bottom w:val="single" w:sz="4" w:space="0" w:color="auto"/>
              <w:right w:val="single" w:sz="4" w:space="0" w:color="auto"/>
            </w:tcBorders>
          </w:tcPr>
          <w:p w14:paraId="5C6C3AD6" w14:textId="77777777" w:rsidR="00533A42" w:rsidRPr="00075B1D" w:rsidRDefault="00533A42" w:rsidP="00111985">
            <w:pPr>
              <w:ind w:left="57" w:right="57"/>
              <w:jc w:val="both"/>
            </w:pPr>
            <w:r w:rsidRPr="00075B1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vAlign w:val="center"/>
          </w:tcPr>
          <w:p w14:paraId="3F19F8A3" w14:textId="7B0AEFB5" w:rsidR="00533A42" w:rsidRPr="00075B1D" w:rsidRDefault="004B735E" w:rsidP="008C110E">
            <w:pPr>
              <w:ind w:left="57" w:right="57"/>
              <w:rPr>
                <w:bCs/>
              </w:rPr>
            </w:pPr>
            <w:r w:rsidRPr="00075B1D">
              <w:rPr>
                <w:bCs/>
              </w:rPr>
              <w:t>17</w:t>
            </w:r>
            <w:r w:rsidR="00CA61BE" w:rsidRPr="00075B1D">
              <w:rPr>
                <w:bCs/>
              </w:rPr>
              <w:t>.11</w:t>
            </w:r>
            <w:r w:rsidR="00CD54E1" w:rsidRPr="00075B1D">
              <w:rPr>
                <w:bCs/>
                <w:lang w:val="en-US"/>
              </w:rPr>
              <w:t>.</w:t>
            </w:r>
            <w:r w:rsidR="00533A42" w:rsidRPr="00075B1D">
              <w:rPr>
                <w:bCs/>
              </w:rPr>
              <w:t>2022</w:t>
            </w:r>
          </w:p>
        </w:tc>
      </w:tr>
    </w:tbl>
    <w:p w14:paraId="18B8AA3A" w14:textId="73122F0B" w:rsidR="001821D4" w:rsidRPr="00075B1D" w:rsidRDefault="001821D4" w:rsidP="00533A42">
      <w:pPr>
        <w:pStyle w:val="NormalPrefix"/>
        <w:spacing w:before="0" w:after="0"/>
        <w:rPr>
          <w:b/>
          <w:sz w:val="24"/>
          <w:szCs w:val="24"/>
        </w:rPr>
      </w:pPr>
    </w:p>
    <w:p w14:paraId="1BA3B8D4" w14:textId="77777777" w:rsidR="00533A42" w:rsidRPr="00075B1D" w:rsidRDefault="00533A42" w:rsidP="001821D4">
      <w:pPr>
        <w:pStyle w:val="NormalPrefix"/>
        <w:spacing w:before="0" w:after="0"/>
        <w:ind w:firstLine="540"/>
        <w:jc w:val="center"/>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tblGrid>
      <w:tr w:rsidR="00075B1D" w:rsidRPr="00075B1D" w14:paraId="341630D5" w14:textId="77777777" w:rsidTr="00AA2FD3">
        <w:tc>
          <w:tcPr>
            <w:tcW w:w="9918" w:type="dxa"/>
          </w:tcPr>
          <w:p w14:paraId="7F672C2A" w14:textId="77777777" w:rsidR="001821D4" w:rsidRPr="00075B1D" w:rsidRDefault="001821D4" w:rsidP="00AA2FD3">
            <w:pPr>
              <w:autoSpaceDE w:val="0"/>
              <w:autoSpaceDN w:val="0"/>
              <w:jc w:val="center"/>
              <w:rPr>
                <w:rFonts w:eastAsiaTheme="minorEastAsia"/>
              </w:rPr>
            </w:pPr>
            <w:r w:rsidRPr="00075B1D">
              <w:rPr>
                <w:rFonts w:eastAsiaTheme="minorEastAsia"/>
              </w:rPr>
              <w:t>2. Содержание сообщения</w:t>
            </w:r>
          </w:p>
        </w:tc>
      </w:tr>
      <w:tr w:rsidR="001A11E8" w:rsidRPr="00075B1D" w14:paraId="25D8933D" w14:textId="77777777" w:rsidTr="00AA2FD3">
        <w:tc>
          <w:tcPr>
            <w:tcW w:w="9918" w:type="dxa"/>
          </w:tcPr>
          <w:p w14:paraId="5FF26430" w14:textId="2376B85A" w:rsidR="00E62559" w:rsidRPr="00075B1D" w:rsidRDefault="00E62559" w:rsidP="009940B3">
            <w:pPr>
              <w:pStyle w:val="af"/>
              <w:numPr>
                <w:ilvl w:val="0"/>
                <w:numId w:val="9"/>
              </w:numPr>
              <w:ind w:left="57" w:right="57" w:firstLine="0"/>
              <w:jc w:val="both"/>
              <w:rPr>
                <w:rFonts w:ascii="Times New Roman" w:eastAsia="Times New Roman" w:hAnsi="Times New Roman" w:cs="Times New Roman"/>
                <w:sz w:val="24"/>
                <w:szCs w:val="24"/>
              </w:rPr>
            </w:pPr>
            <w:r w:rsidRPr="00075B1D">
              <w:rPr>
                <w:rFonts w:ascii="Times New Roman" w:eastAsia="Times New Roman" w:hAnsi="Times New Roman" w:cs="Times New Roman"/>
                <w:sz w:val="24"/>
                <w:szCs w:val="24"/>
              </w:rPr>
              <w:t>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73618F" w:rsidRPr="00075B1D">
              <w:rPr>
                <w:rFonts w:ascii="Times New Roman" w:eastAsia="Times New Roman" w:hAnsi="Times New Roman" w:cs="Times New Roman"/>
                <w:sz w:val="24"/>
                <w:szCs w:val="24"/>
              </w:rPr>
              <w:t xml:space="preserve"> </w:t>
            </w:r>
            <w:r w:rsidR="0073618F" w:rsidRPr="00075B1D">
              <w:rPr>
                <w:rFonts w:ascii="Times New Roman" w:eastAsia="Times New Roman" w:hAnsi="Times New Roman" w:cs="Times New Roman"/>
                <w:b/>
                <w:bCs/>
                <w:sz w:val="24"/>
                <w:szCs w:val="24"/>
              </w:rPr>
              <w:t xml:space="preserve">Генеральным директором ПАО «Фармсинтез» </w:t>
            </w:r>
            <w:r w:rsidR="00A4638E" w:rsidRPr="00075B1D">
              <w:rPr>
                <w:rFonts w:ascii="Times New Roman" w:eastAsia="Times New Roman" w:hAnsi="Times New Roman" w:cs="Times New Roman"/>
                <w:b/>
                <w:bCs/>
                <w:sz w:val="24"/>
                <w:szCs w:val="24"/>
              </w:rPr>
              <w:t xml:space="preserve">в соответствии с пунктом 8.3.4 проспекта ценных бумаг утвержден </w:t>
            </w:r>
            <w:r w:rsidR="001976E0" w:rsidRPr="00075B1D">
              <w:rPr>
                <w:rFonts w:ascii="Times New Roman" w:eastAsia="Times New Roman" w:hAnsi="Times New Roman" w:cs="Times New Roman"/>
                <w:b/>
                <w:bCs/>
                <w:sz w:val="24"/>
                <w:szCs w:val="24"/>
              </w:rPr>
              <w:t xml:space="preserve">отчет </w:t>
            </w:r>
            <w:r w:rsidR="004E648B" w:rsidRPr="00075B1D">
              <w:rPr>
                <w:rFonts w:ascii="Times New Roman" w:eastAsia="Times New Roman" w:hAnsi="Times New Roman" w:cs="Times New Roman"/>
                <w:b/>
                <w:bCs/>
                <w:sz w:val="24"/>
                <w:szCs w:val="24"/>
              </w:rPr>
              <w:t xml:space="preserve">об </w:t>
            </w:r>
            <w:r w:rsidR="00C61C3A" w:rsidRPr="00075B1D">
              <w:rPr>
                <w:rFonts w:ascii="Times New Roman" w:eastAsia="Times New Roman" w:hAnsi="Times New Roman" w:cs="Times New Roman"/>
                <w:b/>
                <w:bCs/>
                <w:sz w:val="24"/>
                <w:szCs w:val="24"/>
              </w:rPr>
              <w:t>итог</w:t>
            </w:r>
            <w:r w:rsidR="004E648B" w:rsidRPr="00075B1D">
              <w:rPr>
                <w:rFonts w:ascii="Times New Roman" w:eastAsia="Times New Roman" w:hAnsi="Times New Roman" w:cs="Times New Roman"/>
                <w:b/>
                <w:bCs/>
                <w:sz w:val="24"/>
                <w:szCs w:val="24"/>
              </w:rPr>
              <w:t>ах</w:t>
            </w:r>
            <w:r w:rsidR="00C61C3A" w:rsidRPr="00075B1D">
              <w:rPr>
                <w:rFonts w:ascii="Times New Roman" w:eastAsia="Times New Roman" w:hAnsi="Times New Roman" w:cs="Times New Roman"/>
                <w:b/>
                <w:bCs/>
                <w:sz w:val="24"/>
                <w:szCs w:val="24"/>
              </w:rPr>
              <w:t xml:space="preserve"> осуществления преимущественного права приобретения дополнительных акций, размещаемых посредством открытой подписки</w:t>
            </w:r>
            <w:r w:rsidR="009D5C07" w:rsidRPr="00075B1D">
              <w:rPr>
                <w:rFonts w:ascii="Times New Roman" w:hAnsi="Times New Roman" w:cs="Times New Roman"/>
                <w:b/>
                <w:bCs/>
                <w:sz w:val="24"/>
                <w:szCs w:val="24"/>
              </w:rPr>
              <w:t>.</w:t>
            </w:r>
          </w:p>
          <w:p w14:paraId="70FA6F89" w14:textId="5E7F88CE" w:rsidR="00E62559" w:rsidRPr="00075B1D" w:rsidRDefault="00E62559" w:rsidP="009940B3">
            <w:pPr>
              <w:pStyle w:val="af"/>
              <w:numPr>
                <w:ilvl w:val="0"/>
                <w:numId w:val="9"/>
              </w:numPr>
              <w:ind w:left="57" w:right="57" w:firstLine="0"/>
              <w:jc w:val="both"/>
              <w:rPr>
                <w:rFonts w:ascii="Times New Roman" w:eastAsia="Times New Roman" w:hAnsi="Times New Roman" w:cs="Times New Roman"/>
                <w:sz w:val="24"/>
                <w:szCs w:val="24"/>
              </w:rPr>
            </w:pPr>
            <w:r w:rsidRPr="00075B1D">
              <w:rPr>
                <w:rFonts w:ascii="Times New Roman" w:eastAsia="Times New Roman" w:hAnsi="Times New Roman" w:cs="Times New Roman"/>
                <w:sz w:val="24"/>
                <w:szCs w:val="24"/>
              </w:rP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73618F" w:rsidRPr="00075B1D">
              <w:rPr>
                <w:rFonts w:ascii="Times New Roman" w:eastAsia="Times New Roman" w:hAnsi="Times New Roman" w:cs="Times New Roman"/>
                <w:sz w:val="24"/>
                <w:szCs w:val="24"/>
              </w:rPr>
              <w:t xml:space="preserve"> </w:t>
            </w:r>
            <w:r w:rsidR="0073618F" w:rsidRPr="00075B1D">
              <w:rPr>
                <w:rFonts w:ascii="Times New Roman" w:eastAsia="Times New Roman" w:hAnsi="Times New Roman" w:cs="Times New Roman"/>
                <w:b/>
                <w:bCs/>
                <w:sz w:val="24"/>
                <w:szCs w:val="24"/>
              </w:rPr>
              <w:t>не применимо.</w:t>
            </w:r>
          </w:p>
          <w:p w14:paraId="753C0E19" w14:textId="276A8DBD" w:rsidR="00E65300" w:rsidRPr="00075B1D" w:rsidRDefault="00E62559" w:rsidP="009940B3">
            <w:pPr>
              <w:pStyle w:val="af"/>
              <w:numPr>
                <w:ilvl w:val="0"/>
                <w:numId w:val="9"/>
              </w:numPr>
              <w:ind w:left="57" w:right="57" w:firstLine="0"/>
              <w:jc w:val="both"/>
              <w:rPr>
                <w:rFonts w:ascii="Times New Roman" w:eastAsia="Times New Roman" w:hAnsi="Times New Roman" w:cs="Times New Roman"/>
                <w:b/>
                <w:bCs/>
                <w:sz w:val="24"/>
                <w:szCs w:val="24"/>
              </w:rPr>
            </w:pPr>
            <w:r w:rsidRPr="00075B1D">
              <w:rPr>
                <w:rFonts w:ascii="Times New Roman" w:eastAsia="Times New Roman" w:hAnsi="Times New Roman" w:cs="Times New Roman"/>
                <w:sz w:val="24"/>
                <w:szCs w:val="24"/>
              </w:rPr>
              <w:t>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BD5EEC" w:rsidRPr="00075B1D">
              <w:rPr>
                <w:rFonts w:ascii="Times New Roman" w:eastAsia="Times New Roman" w:hAnsi="Times New Roman" w:cs="Times New Roman"/>
                <w:sz w:val="24"/>
                <w:szCs w:val="24"/>
              </w:rPr>
              <w:t xml:space="preserve"> </w:t>
            </w:r>
            <w:r w:rsidR="00BD5EEC" w:rsidRPr="00075B1D">
              <w:rPr>
                <w:rFonts w:ascii="Times New Roman" w:eastAsia="Times New Roman" w:hAnsi="Times New Roman" w:cs="Times New Roman"/>
                <w:b/>
                <w:bCs/>
                <w:sz w:val="24"/>
                <w:szCs w:val="24"/>
              </w:rPr>
              <w:t xml:space="preserve">Приказ Генерального директор </w:t>
            </w:r>
            <w:r w:rsidR="0061029E" w:rsidRPr="00075B1D">
              <w:rPr>
                <w:rFonts w:ascii="Times New Roman" w:eastAsia="Times New Roman" w:hAnsi="Times New Roman" w:cs="Times New Roman"/>
                <w:b/>
                <w:bCs/>
                <w:sz w:val="24"/>
                <w:szCs w:val="24"/>
              </w:rPr>
              <w:t>№ </w:t>
            </w:r>
            <w:r w:rsidR="0054124B" w:rsidRPr="00075B1D">
              <w:rPr>
                <w:rFonts w:ascii="Times New Roman" w:eastAsia="Times New Roman" w:hAnsi="Times New Roman" w:cs="Times New Roman"/>
                <w:b/>
                <w:bCs/>
                <w:sz w:val="24"/>
                <w:szCs w:val="24"/>
              </w:rPr>
              <w:t>35</w:t>
            </w:r>
            <w:r w:rsidR="0031564B" w:rsidRPr="00075B1D">
              <w:rPr>
                <w:rFonts w:ascii="Times New Roman" w:eastAsia="Times New Roman" w:hAnsi="Times New Roman" w:cs="Times New Roman"/>
                <w:b/>
                <w:bCs/>
                <w:sz w:val="24"/>
                <w:szCs w:val="24"/>
              </w:rPr>
              <w:t xml:space="preserve"> </w:t>
            </w:r>
            <w:r w:rsidR="00BD5EEC" w:rsidRPr="00075B1D">
              <w:rPr>
                <w:rFonts w:ascii="Times New Roman" w:eastAsia="Times New Roman" w:hAnsi="Times New Roman" w:cs="Times New Roman"/>
                <w:b/>
                <w:bCs/>
                <w:sz w:val="24"/>
                <w:szCs w:val="24"/>
              </w:rPr>
              <w:t xml:space="preserve">от </w:t>
            </w:r>
            <w:r w:rsidR="0031564B" w:rsidRPr="00075B1D">
              <w:rPr>
                <w:rFonts w:ascii="Times New Roman" w:eastAsia="Times New Roman" w:hAnsi="Times New Roman" w:cs="Times New Roman"/>
                <w:b/>
                <w:bCs/>
                <w:sz w:val="24"/>
                <w:szCs w:val="24"/>
              </w:rPr>
              <w:t>17</w:t>
            </w:r>
            <w:r w:rsidR="00CA61BE" w:rsidRPr="00075B1D">
              <w:rPr>
                <w:rFonts w:ascii="Times New Roman" w:eastAsia="Times New Roman" w:hAnsi="Times New Roman" w:cs="Times New Roman"/>
                <w:b/>
                <w:bCs/>
                <w:sz w:val="24"/>
                <w:szCs w:val="24"/>
              </w:rPr>
              <w:t>.11.</w:t>
            </w:r>
            <w:r w:rsidR="00BD5EEC" w:rsidRPr="00075B1D">
              <w:rPr>
                <w:rFonts w:ascii="Times New Roman" w:eastAsia="Times New Roman" w:hAnsi="Times New Roman" w:cs="Times New Roman"/>
                <w:b/>
                <w:bCs/>
                <w:sz w:val="24"/>
                <w:szCs w:val="24"/>
              </w:rPr>
              <w:t>2022.</w:t>
            </w:r>
            <w:r w:rsidR="007F1EA8" w:rsidRPr="00075B1D">
              <w:rPr>
                <w:rFonts w:ascii="Times New Roman" w:eastAsia="Times New Roman" w:hAnsi="Times New Roman" w:cs="Times New Roman"/>
                <w:b/>
                <w:bCs/>
                <w:sz w:val="24"/>
                <w:szCs w:val="24"/>
              </w:rPr>
              <w:t xml:space="preserve"> Содержание принятого решения: </w:t>
            </w:r>
          </w:p>
          <w:p w14:paraId="465C7526" w14:textId="4C3A7979" w:rsidR="009F3292" w:rsidRPr="00075B1D" w:rsidRDefault="00117326" w:rsidP="009940B3">
            <w:pPr>
              <w:pStyle w:val="af"/>
              <w:ind w:left="57" w:right="57"/>
              <w:jc w:val="both"/>
              <w:rPr>
                <w:rFonts w:ascii="Times New Roman" w:eastAsia="Times New Roman" w:hAnsi="Times New Roman" w:cs="Times New Roman"/>
                <w:b/>
                <w:bCs/>
                <w:sz w:val="24"/>
                <w:szCs w:val="24"/>
              </w:rPr>
            </w:pPr>
            <w:r w:rsidRPr="00075B1D">
              <w:rPr>
                <w:rFonts w:ascii="Times New Roman" w:eastAsia="Times New Roman" w:hAnsi="Times New Roman" w:cs="Times New Roman"/>
                <w:b/>
                <w:bCs/>
                <w:sz w:val="24"/>
                <w:szCs w:val="24"/>
              </w:rPr>
              <w:t>«</w:t>
            </w:r>
            <w:r w:rsidR="00E65300" w:rsidRPr="00075B1D">
              <w:rPr>
                <w:rFonts w:ascii="Times New Roman" w:eastAsia="Times New Roman" w:hAnsi="Times New Roman" w:cs="Times New Roman"/>
                <w:b/>
                <w:bCs/>
                <w:sz w:val="24"/>
                <w:szCs w:val="24"/>
              </w:rPr>
              <w:t xml:space="preserve">В связи с тем, что в течение срока действия преимущественного права приобретения </w:t>
            </w:r>
            <w:r w:rsidR="00DC62F3" w:rsidRPr="00075B1D">
              <w:rPr>
                <w:rFonts w:ascii="Times New Roman" w:eastAsia="Times New Roman" w:hAnsi="Times New Roman" w:cs="Times New Roman"/>
                <w:b/>
                <w:bCs/>
                <w:sz w:val="24"/>
                <w:szCs w:val="24"/>
              </w:rPr>
              <w:t>а</w:t>
            </w:r>
            <w:r w:rsidR="00E65300" w:rsidRPr="00075B1D">
              <w:rPr>
                <w:rFonts w:ascii="Times New Roman" w:eastAsia="Times New Roman" w:hAnsi="Times New Roman" w:cs="Times New Roman"/>
                <w:b/>
                <w:bCs/>
                <w:sz w:val="24"/>
                <w:szCs w:val="24"/>
              </w:rPr>
              <w:t>кций от акционеров ПАО «</w:t>
            </w:r>
            <w:r w:rsidR="00DC62F3" w:rsidRPr="00075B1D">
              <w:rPr>
                <w:rFonts w:ascii="Times New Roman" w:eastAsia="Times New Roman" w:hAnsi="Times New Roman" w:cs="Times New Roman"/>
                <w:b/>
                <w:bCs/>
                <w:sz w:val="24"/>
                <w:szCs w:val="24"/>
              </w:rPr>
              <w:t>Фармсинтез</w:t>
            </w:r>
            <w:r w:rsidR="00E65300" w:rsidRPr="00075B1D">
              <w:rPr>
                <w:rFonts w:ascii="Times New Roman" w:eastAsia="Times New Roman" w:hAnsi="Times New Roman" w:cs="Times New Roman"/>
                <w:b/>
                <w:bCs/>
                <w:sz w:val="24"/>
                <w:szCs w:val="24"/>
              </w:rPr>
              <w:t xml:space="preserve">» не поступило ни одного заявления о реализации преимущественного права их приобретения </w:t>
            </w:r>
            <w:r w:rsidR="00525771" w:rsidRPr="00075B1D">
              <w:rPr>
                <w:rFonts w:ascii="Times New Roman" w:eastAsia="Times New Roman" w:hAnsi="Times New Roman" w:cs="Times New Roman"/>
                <w:b/>
                <w:bCs/>
                <w:sz w:val="24"/>
                <w:szCs w:val="24"/>
              </w:rPr>
              <w:t xml:space="preserve">согласно п. 8.3.4 проспекта ценных бумаг </w:t>
            </w:r>
            <w:r w:rsidR="00E65300" w:rsidRPr="00075B1D">
              <w:rPr>
                <w:rFonts w:ascii="Times New Roman" w:eastAsia="Times New Roman" w:hAnsi="Times New Roman" w:cs="Times New Roman"/>
                <w:b/>
                <w:bCs/>
                <w:sz w:val="24"/>
                <w:szCs w:val="24"/>
              </w:rPr>
              <w:t xml:space="preserve">подвести итоги осуществления преимущественного права приобретения </w:t>
            </w:r>
            <w:r w:rsidR="009F3292" w:rsidRPr="00075B1D">
              <w:rPr>
                <w:rFonts w:ascii="Times New Roman" w:eastAsia="Times New Roman" w:hAnsi="Times New Roman" w:cs="Times New Roman"/>
                <w:b/>
                <w:bCs/>
                <w:sz w:val="24"/>
                <w:szCs w:val="24"/>
              </w:rPr>
              <w:t>а</w:t>
            </w:r>
            <w:r w:rsidR="00E65300" w:rsidRPr="00075B1D">
              <w:rPr>
                <w:rFonts w:ascii="Times New Roman" w:eastAsia="Times New Roman" w:hAnsi="Times New Roman" w:cs="Times New Roman"/>
                <w:b/>
                <w:bCs/>
                <w:sz w:val="24"/>
                <w:szCs w:val="24"/>
              </w:rPr>
              <w:t xml:space="preserve">кций </w:t>
            </w:r>
            <w:r w:rsidR="00525771" w:rsidRPr="00075B1D">
              <w:rPr>
                <w:rFonts w:ascii="Times New Roman" w:eastAsia="Times New Roman" w:hAnsi="Times New Roman" w:cs="Times New Roman"/>
                <w:b/>
                <w:bCs/>
                <w:sz w:val="24"/>
                <w:szCs w:val="24"/>
              </w:rPr>
              <w:t>в форме отчета</w:t>
            </w:r>
            <w:r w:rsidR="009F3292" w:rsidRPr="00075B1D">
              <w:rPr>
                <w:rFonts w:ascii="Times New Roman" w:eastAsia="Times New Roman" w:hAnsi="Times New Roman" w:cs="Times New Roman"/>
                <w:b/>
                <w:bCs/>
                <w:sz w:val="24"/>
                <w:szCs w:val="24"/>
              </w:rPr>
              <w:t>:</w:t>
            </w:r>
          </w:p>
          <w:p w14:paraId="06908711" w14:textId="77777777" w:rsidR="0054124B" w:rsidRPr="00075B1D" w:rsidRDefault="0054124B" w:rsidP="009940B3">
            <w:pPr>
              <w:autoSpaceDE w:val="0"/>
              <w:autoSpaceDN w:val="0"/>
              <w:adjustRightInd w:val="0"/>
              <w:ind w:left="57" w:right="57"/>
              <w:jc w:val="center"/>
              <w:rPr>
                <w:b/>
                <w:sz w:val="28"/>
                <w:szCs w:val="36"/>
              </w:rPr>
            </w:pPr>
            <w:r w:rsidRPr="00075B1D">
              <w:rPr>
                <w:b/>
                <w:sz w:val="28"/>
                <w:szCs w:val="36"/>
              </w:rPr>
              <w:t xml:space="preserve">Публичное акционерное общество </w:t>
            </w:r>
          </w:p>
          <w:p w14:paraId="719A49F9" w14:textId="77777777" w:rsidR="0054124B" w:rsidRPr="00075B1D" w:rsidRDefault="0054124B" w:rsidP="009940B3">
            <w:pPr>
              <w:autoSpaceDE w:val="0"/>
              <w:autoSpaceDN w:val="0"/>
              <w:adjustRightInd w:val="0"/>
              <w:ind w:left="57" w:right="57"/>
              <w:jc w:val="center"/>
              <w:rPr>
                <w:b/>
                <w:sz w:val="28"/>
                <w:szCs w:val="36"/>
              </w:rPr>
            </w:pPr>
            <w:r w:rsidRPr="00075B1D">
              <w:rPr>
                <w:b/>
                <w:sz w:val="28"/>
                <w:szCs w:val="36"/>
              </w:rPr>
              <w:lastRenderedPageBreak/>
              <w:t>«Фармсинтез»</w:t>
            </w:r>
          </w:p>
          <w:p w14:paraId="4714DB81" w14:textId="77777777" w:rsidR="0054124B" w:rsidRPr="00075B1D" w:rsidRDefault="0054124B" w:rsidP="009940B3">
            <w:pPr>
              <w:autoSpaceDE w:val="0"/>
              <w:autoSpaceDN w:val="0"/>
              <w:adjustRightInd w:val="0"/>
              <w:ind w:left="57" w:right="57"/>
              <w:jc w:val="center"/>
            </w:pPr>
            <w:r w:rsidRPr="00075B1D">
              <w:t xml:space="preserve">188663, Ленинградская область, р-н Всеволожский, </w:t>
            </w:r>
          </w:p>
          <w:p w14:paraId="0635BC0F" w14:textId="77777777" w:rsidR="0054124B" w:rsidRPr="00075B1D" w:rsidRDefault="0054124B" w:rsidP="009940B3">
            <w:pPr>
              <w:autoSpaceDE w:val="0"/>
              <w:autoSpaceDN w:val="0"/>
              <w:adjustRightInd w:val="0"/>
              <w:ind w:left="57" w:right="57"/>
              <w:jc w:val="center"/>
            </w:pPr>
            <w:proofErr w:type="spellStart"/>
            <w:r w:rsidRPr="00075B1D">
              <w:t>гп</w:t>
            </w:r>
            <w:proofErr w:type="spellEnd"/>
            <w:r w:rsidRPr="00075B1D">
              <w:t xml:space="preserve"> </w:t>
            </w:r>
            <w:proofErr w:type="spellStart"/>
            <w:r w:rsidRPr="00075B1D">
              <w:t>Кузьмоловский</w:t>
            </w:r>
            <w:proofErr w:type="spellEnd"/>
            <w:r w:rsidRPr="00075B1D">
              <w:t>, станция Капитолово 134, литер 1</w:t>
            </w:r>
          </w:p>
          <w:p w14:paraId="567C36E8" w14:textId="77777777" w:rsidR="0054124B" w:rsidRPr="00075B1D" w:rsidRDefault="0054124B" w:rsidP="009940B3">
            <w:pPr>
              <w:autoSpaceDE w:val="0"/>
              <w:autoSpaceDN w:val="0"/>
              <w:adjustRightInd w:val="0"/>
              <w:ind w:left="57" w:right="57"/>
              <w:jc w:val="center"/>
            </w:pPr>
            <w:r w:rsidRPr="00075B1D">
              <w:t>ОГРН 1034700559189</w:t>
            </w:r>
          </w:p>
          <w:p w14:paraId="7653499B" w14:textId="1D0A23E4" w:rsidR="0054124B" w:rsidRPr="00075B1D" w:rsidRDefault="0054124B" w:rsidP="009940B3">
            <w:pPr>
              <w:ind w:left="57" w:right="57"/>
              <w:rPr>
                <w:sz w:val="32"/>
                <w:szCs w:val="32"/>
              </w:rPr>
            </w:pPr>
            <w:r w:rsidRPr="00075B1D">
              <w:t>__________________________________________________</w:t>
            </w:r>
            <w:r w:rsidR="009940B3">
              <w:t>_______________________________</w:t>
            </w:r>
          </w:p>
          <w:p w14:paraId="743BABA7" w14:textId="77777777" w:rsidR="0054124B" w:rsidRPr="00075B1D" w:rsidRDefault="0054124B" w:rsidP="009940B3">
            <w:pPr>
              <w:autoSpaceDE w:val="0"/>
              <w:autoSpaceDN w:val="0"/>
              <w:adjustRightInd w:val="0"/>
              <w:ind w:left="57" w:right="57"/>
              <w:jc w:val="center"/>
              <w:rPr>
                <w:b/>
                <w:i/>
              </w:rPr>
            </w:pPr>
          </w:p>
          <w:p w14:paraId="303518AF" w14:textId="77777777" w:rsidR="0054124B" w:rsidRPr="00075B1D" w:rsidRDefault="0054124B" w:rsidP="009940B3">
            <w:pPr>
              <w:suppressAutoHyphens/>
              <w:autoSpaceDE w:val="0"/>
              <w:autoSpaceDN w:val="0"/>
              <w:adjustRightInd w:val="0"/>
              <w:spacing w:before="60"/>
              <w:ind w:left="57" w:right="57"/>
              <w:jc w:val="both"/>
              <w:rPr>
                <w:b/>
              </w:rPr>
            </w:pPr>
            <w:r w:rsidRPr="00075B1D">
              <w:tab/>
            </w:r>
            <w:r w:rsidRPr="00075B1D">
              <w:tab/>
            </w:r>
            <w:r w:rsidRPr="00075B1D">
              <w:tab/>
            </w:r>
            <w:r w:rsidRPr="00075B1D">
              <w:tab/>
            </w:r>
            <w:r w:rsidRPr="00075B1D">
              <w:tab/>
            </w:r>
            <w:r w:rsidRPr="00075B1D">
              <w:tab/>
            </w:r>
            <w:r w:rsidRPr="00075B1D">
              <w:tab/>
            </w:r>
            <w:r w:rsidRPr="00075B1D">
              <w:tab/>
            </w:r>
            <w:r w:rsidRPr="00075B1D">
              <w:tab/>
            </w:r>
            <w:r w:rsidRPr="00075B1D">
              <w:tab/>
            </w:r>
            <w:r w:rsidRPr="00075B1D">
              <w:rPr>
                <w:b/>
              </w:rPr>
              <w:t>17 ноября 2022 года</w:t>
            </w:r>
          </w:p>
          <w:p w14:paraId="0000C486" w14:textId="77777777" w:rsidR="0054124B" w:rsidRPr="00075B1D" w:rsidRDefault="0054124B" w:rsidP="009940B3">
            <w:pPr>
              <w:pStyle w:val="1"/>
              <w:ind w:left="57" w:right="57"/>
              <w:rPr>
                <w:i w:val="0"/>
                <w:iCs w:val="0"/>
                <w:sz w:val="24"/>
                <w:szCs w:val="24"/>
                <w:u w:val="single"/>
              </w:rPr>
            </w:pPr>
          </w:p>
          <w:p w14:paraId="387FFF14" w14:textId="77777777" w:rsidR="0054124B" w:rsidRPr="00075B1D" w:rsidRDefault="0054124B" w:rsidP="009940B3">
            <w:pPr>
              <w:ind w:left="57" w:right="57"/>
              <w:jc w:val="center"/>
              <w:rPr>
                <w:b/>
                <w:sz w:val="28"/>
                <w:szCs w:val="28"/>
              </w:rPr>
            </w:pPr>
            <w:r w:rsidRPr="00075B1D">
              <w:rPr>
                <w:b/>
                <w:sz w:val="28"/>
                <w:szCs w:val="28"/>
              </w:rPr>
              <w:t>Отчет об итогах осуществления акционерами ПАО «Фармсинтез» преимущественного права приобретения дополнительных акций, размещаемых путем открытой подписки</w:t>
            </w:r>
          </w:p>
          <w:p w14:paraId="2169772A" w14:textId="77777777" w:rsidR="0054124B" w:rsidRPr="00075B1D" w:rsidRDefault="0054124B" w:rsidP="009940B3">
            <w:pPr>
              <w:pStyle w:val="prilozhenie"/>
              <w:ind w:left="57" w:right="57"/>
            </w:pPr>
          </w:p>
          <w:p w14:paraId="660D3FCD" w14:textId="77777777" w:rsidR="0054124B" w:rsidRPr="00075B1D" w:rsidRDefault="0054124B" w:rsidP="009940B3">
            <w:pPr>
              <w:pStyle w:val="ConsNormal"/>
              <w:ind w:left="57" w:right="57" w:firstLine="0"/>
              <w:jc w:val="both"/>
              <w:rPr>
                <w:rFonts w:ascii="Times New Roman" w:hAnsi="Times New Roman" w:cs="Times New Roman"/>
                <w:b/>
                <w:bCs/>
                <w:sz w:val="24"/>
                <w:szCs w:val="24"/>
              </w:rPr>
            </w:pPr>
            <w:r w:rsidRPr="00075B1D">
              <w:rPr>
                <w:rFonts w:ascii="Times New Roman" w:hAnsi="Times New Roman" w:cs="Times New Roman"/>
                <w:b/>
                <w:bCs/>
                <w:sz w:val="24"/>
                <w:szCs w:val="24"/>
              </w:rPr>
              <w:t>1. Сведения об эмитенте:</w:t>
            </w:r>
          </w:p>
          <w:p w14:paraId="2555887F" w14:textId="77777777" w:rsidR="0054124B" w:rsidRPr="00075B1D" w:rsidRDefault="0054124B" w:rsidP="009940B3">
            <w:pPr>
              <w:suppressAutoHyphens/>
              <w:autoSpaceDE w:val="0"/>
              <w:autoSpaceDN w:val="0"/>
              <w:adjustRightInd w:val="0"/>
              <w:spacing w:before="60"/>
              <w:ind w:left="57" w:right="57"/>
              <w:jc w:val="both"/>
              <w:rPr>
                <w:b/>
              </w:rPr>
            </w:pPr>
            <w:r w:rsidRPr="00075B1D">
              <w:t xml:space="preserve">1.1. Наименование эмитента: </w:t>
            </w:r>
            <w:r w:rsidRPr="00075B1D">
              <w:rPr>
                <w:b/>
              </w:rPr>
              <w:t>Публичное акционерное общество «Фармсинтез»</w:t>
            </w:r>
          </w:p>
          <w:p w14:paraId="5D622EA0" w14:textId="77777777" w:rsidR="0054124B" w:rsidRPr="00075B1D" w:rsidRDefault="0054124B" w:rsidP="009940B3">
            <w:pPr>
              <w:suppressAutoHyphens/>
              <w:autoSpaceDE w:val="0"/>
              <w:autoSpaceDN w:val="0"/>
              <w:adjustRightInd w:val="0"/>
              <w:spacing w:before="60"/>
              <w:ind w:left="57" w:right="57"/>
              <w:jc w:val="both"/>
              <w:rPr>
                <w:b/>
              </w:rPr>
            </w:pPr>
            <w:r w:rsidRPr="00075B1D">
              <w:t xml:space="preserve">1.2. Сокращенное наименование эмитента: </w:t>
            </w:r>
            <w:r w:rsidRPr="00075B1D">
              <w:rPr>
                <w:b/>
              </w:rPr>
              <w:t>ПАО «Фармсинтез»</w:t>
            </w:r>
          </w:p>
          <w:p w14:paraId="1AA39CB3" w14:textId="77777777" w:rsidR="0054124B" w:rsidRPr="00075B1D" w:rsidRDefault="0054124B" w:rsidP="009940B3">
            <w:pPr>
              <w:suppressAutoHyphens/>
              <w:autoSpaceDE w:val="0"/>
              <w:autoSpaceDN w:val="0"/>
              <w:adjustRightInd w:val="0"/>
              <w:spacing w:before="60"/>
              <w:ind w:left="57" w:right="57"/>
              <w:jc w:val="both"/>
              <w:rPr>
                <w:b/>
              </w:rPr>
            </w:pPr>
            <w:r w:rsidRPr="00075B1D">
              <w:t xml:space="preserve">1.3. Место нахождения эмитента: </w:t>
            </w:r>
            <w:r w:rsidRPr="00075B1D">
              <w:rPr>
                <w:b/>
              </w:rPr>
              <w:t xml:space="preserve">188663, Ленинградская область, р-н Всеволожский, </w:t>
            </w:r>
            <w:proofErr w:type="spellStart"/>
            <w:r w:rsidRPr="00075B1D">
              <w:rPr>
                <w:b/>
              </w:rPr>
              <w:t>гп</w:t>
            </w:r>
            <w:proofErr w:type="spellEnd"/>
            <w:r w:rsidRPr="00075B1D">
              <w:rPr>
                <w:b/>
              </w:rPr>
              <w:t xml:space="preserve"> </w:t>
            </w:r>
            <w:proofErr w:type="spellStart"/>
            <w:r w:rsidRPr="00075B1D">
              <w:rPr>
                <w:b/>
              </w:rPr>
              <w:t>Кузьмоловский</w:t>
            </w:r>
            <w:proofErr w:type="spellEnd"/>
            <w:r w:rsidRPr="00075B1D">
              <w:rPr>
                <w:b/>
              </w:rPr>
              <w:t>, станция Капитолово 134, литер 1</w:t>
            </w:r>
          </w:p>
          <w:p w14:paraId="11BF3A13" w14:textId="77777777" w:rsidR="0054124B" w:rsidRPr="00075B1D" w:rsidRDefault="0054124B" w:rsidP="009940B3">
            <w:pPr>
              <w:suppressAutoHyphens/>
              <w:autoSpaceDE w:val="0"/>
              <w:autoSpaceDN w:val="0"/>
              <w:adjustRightInd w:val="0"/>
              <w:spacing w:before="60"/>
              <w:ind w:left="57" w:right="57"/>
              <w:jc w:val="both"/>
              <w:rPr>
                <w:b/>
              </w:rPr>
            </w:pPr>
            <w:r w:rsidRPr="00075B1D">
              <w:t xml:space="preserve">1.4. Основной государственный регистрационный номер (ОГРН), за которым в Единый государственный реестр юридических лиц внесена запись о создании эмитента: </w:t>
            </w:r>
            <w:r w:rsidRPr="00075B1D">
              <w:rPr>
                <w:b/>
              </w:rPr>
              <w:t>1034700559189</w:t>
            </w:r>
          </w:p>
          <w:p w14:paraId="7023A378" w14:textId="77777777" w:rsidR="0054124B" w:rsidRPr="00075B1D" w:rsidRDefault="0054124B" w:rsidP="009940B3">
            <w:pPr>
              <w:suppressAutoHyphens/>
              <w:autoSpaceDE w:val="0"/>
              <w:autoSpaceDN w:val="0"/>
              <w:adjustRightInd w:val="0"/>
              <w:spacing w:before="60"/>
              <w:ind w:left="57" w:right="57"/>
              <w:jc w:val="both"/>
              <w:rPr>
                <w:b/>
              </w:rPr>
            </w:pPr>
            <w:r w:rsidRPr="00075B1D">
              <w:t xml:space="preserve">1.5. Идентификационный номер налогоплательщика: </w:t>
            </w:r>
            <w:r w:rsidRPr="00075B1D">
              <w:rPr>
                <w:b/>
              </w:rPr>
              <w:t>7801075160</w:t>
            </w:r>
          </w:p>
          <w:p w14:paraId="2243381E" w14:textId="77777777" w:rsidR="0054124B" w:rsidRPr="00075B1D" w:rsidRDefault="0054124B" w:rsidP="009940B3">
            <w:pPr>
              <w:suppressAutoHyphens/>
              <w:autoSpaceDE w:val="0"/>
              <w:autoSpaceDN w:val="0"/>
              <w:adjustRightInd w:val="0"/>
              <w:spacing w:before="60"/>
              <w:ind w:left="57" w:right="57"/>
              <w:jc w:val="both"/>
              <w:rPr>
                <w:b/>
              </w:rPr>
            </w:pPr>
            <w:r w:rsidRPr="00075B1D">
              <w:t xml:space="preserve">1.6. Сведения о регистраторе, осуществляющем ведение реестра владельцев именных ценных бумаг эмитента: </w:t>
            </w:r>
            <w:r w:rsidRPr="00075B1D">
              <w:rPr>
                <w:b/>
              </w:rPr>
              <w:t xml:space="preserve">Акционерное общество "Независимая регистраторская компания Р.О.С.Т." (АО «НРК - Р.О.С.Т.»); </w:t>
            </w:r>
            <w:hyperlink r:id="rId7" w:history="1">
              <w:r w:rsidRPr="00075B1D">
                <w:rPr>
                  <w:rStyle w:val="a3"/>
                  <w:color w:val="auto"/>
                  <w:sz w:val="21"/>
                  <w:szCs w:val="21"/>
                </w:rPr>
                <w:t>https://www.e-disclosure.ru/portal/company.aspx?id=4378&amp;attempt=1</w:t>
              </w:r>
            </w:hyperlink>
          </w:p>
          <w:p w14:paraId="07CCA4C1" w14:textId="77777777" w:rsidR="0054124B" w:rsidRPr="00075B1D" w:rsidRDefault="0054124B" w:rsidP="009940B3">
            <w:pPr>
              <w:autoSpaceDE w:val="0"/>
              <w:autoSpaceDN w:val="0"/>
              <w:adjustRightInd w:val="0"/>
              <w:ind w:left="57" w:right="57"/>
              <w:rPr>
                <w:b/>
                <w:bCs/>
              </w:rPr>
            </w:pPr>
          </w:p>
          <w:p w14:paraId="50D92906" w14:textId="77777777" w:rsidR="0054124B" w:rsidRPr="00075B1D" w:rsidRDefault="0054124B" w:rsidP="009940B3">
            <w:pPr>
              <w:pStyle w:val="ConsNormal"/>
              <w:ind w:left="57" w:right="57" w:firstLine="0"/>
              <w:jc w:val="both"/>
              <w:rPr>
                <w:rFonts w:ascii="Times New Roman" w:hAnsi="Times New Roman" w:cs="Times New Roman"/>
                <w:b/>
                <w:bCs/>
                <w:sz w:val="24"/>
                <w:szCs w:val="24"/>
              </w:rPr>
            </w:pPr>
            <w:r w:rsidRPr="00075B1D">
              <w:rPr>
                <w:rFonts w:ascii="Times New Roman" w:hAnsi="Times New Roman" w:cs="Times New Roman"/>
                <w:b/>
                <w:bCs/>
                <w:sz w:val="24"/>
                <w:szCs w:val="24"/>
              </w:rPr>
              <w:t xml:space="preserve">2. Сведения о ценных бумагах, выпуск которых зарегистрирован: </w:t>
            </w:r>
          </w:p>
          <w:p w14:paraId="3607ABC3" w14:textId="77777777" w:rsidR="0054124B" w:rsidRPr="00075B1D" w:rsidRDefault="0054124B" w:rsidP="009940B3">
            <w:pPr>
              <w:pStyle w:val="ConsNormal"/>
              <w:ind w:left="57" w:right="57" w:firstLine="0"/>
              <w:jc w:val="both"/>
              <w:rPr>
                <w:rFonts w:ascii="Times New Roman" w:hAnsi="Times New Roman" w:cs="Times New Roman"/>
                <w:sz w:val="24"/>
                <w:szCs w:val="24"/>
              </w:rPr>
            </w:pPr>
            <w:r w:rsidRPr="00075B1D">
              <w:rPr>
                <w:rFonts w:ascii="Times New Roman" w:hAnsi="Times New Roman" w:cs="Times New Roman"/>
                <w:sz w:val="24"/>
                <w:szCs w:val="24"/>
              </w:rPr>
              <w:t xml:space="preserve">2.1. Вид, категория: </w:t>
            </w:r>
            <w:r w:rsidRPr="00075B1D">
              <w:rPr>
                <w:rFonts w:ascii="Times New Roman" w:hAnsi="Times New Roman" w:cs="Times New Roman"/>
                <w:b/>
                <w:sz w:val="24"/>
                <w:szCs w:val="24"/>
              </w:rPr>
              <w:t>акции обыкновенные</w:t>
            </w:r>
            <w:r w:rsidRPr="00075B1D">
              <w:rPr>
                <w:rFonts w:ascii="Times New Roman" w:hAnsi="Times New Roman" w:cs="Times New Roman"/>
                <w:sz w:val="24"/>
                <w:szCs w:val="24"/>
              </w:rPr>
              <w:t>.</w:t>
            </w:r>
          </w:p>
          <w:p w14:paraId="5F5536D9" w14:textId="77777777" w:rsidR="0054124B" w:rsidRPr="00075B1D" w:rsidRDefault="0054124B" w:rsidP="009940B3">
            <w:pPr>
              <w:autoSpaceDE w:val="0"/>
              <w:autoSpaceDN w:val="0"/>
              <w:adjustRightInd w:val="0"/>
              <w:ind w:left="57" w:right="57"/>
            </w:pPr>
            <w:r w:rsidRPr="00075B1D">
              <w:t xml:space="preserve">2.2. Государственный регистрационный номер дополнительного выпуска ценных бумаг и дата государственной регистрации: </w:t>
            </w:r>
            <w:r w:rsidRPr="00075B1D">
              <w:rPr>
                <w:b/>
              </w:rPr>
              <w:t>1-02-09669-J от 07.07.2022.</w:t>
            </w:r>
          </w:p>
          <w:p w14:paraId="632608F5" w14:textId="77777777" w:rsidR="0054124B" w:rsidRPr="00075B1D" w:rsidRDefault="0054124B" w:rsidP="009940B3">
            <w:pPr>
              <w:pStyle w:val="ConsNormal"/>
              <w:ind w:left="57" w:right="57" w:firstLine="0"/>
              <w:jc w:val="both"/>
              <w:rPr>
                <w:rFonts w:ascii="Times New Roman" w:hAnsi="Times New Roman" w:cs="Times New Roman"/>
                <w:sz w:val="24"/>
                <w:szCs w:val="24"/>
              </w:rPr>
            </w:pPr>
            <w:r w:rsidRPr="00075B1D">
              <w:rPr>
                <w:rFonts w:ascii="Times New Roman" w:hAnsi="Times New Roman" w:cs="Times New Roman"/>
                <w:sz w:val="24"/>
                <w:szCs w:val="24"/>
              </w:rPr>
              <w:t xml:space="preserve">2.3. Наименование регистрирующего органа, осуществившего государственную регистрацию дополнительного выпуска ценных бумаг: </w:t>
            </w:r>
            <w:r w:rsidRPr="00075B1D">
              <w:rPr>
                <w:rFonts w:ascii="Times New Roman" w:hAnsi="Times New Roman" w:cs="Times New Roman"/>
                <w:b/>
                <w:sz w:val="24"/>
                <w:szCs w:val="24"/>
              </w:rPr>
              <w:t>Банк России.</w:t>
            </w:r>
          </w:p>
          <w:p w14:paraId="45328EF2" w14:textId="77777777" w:rsidR="0054124B" w:rsidRPr="00075B1D" w:rsidRDefault="0054124B" w:rsidP="009940B3">
            <w:pPr>
              <w:pStyle w:val="ConsNormal"/>
              <w:ind w:left="57" w:right="57" w:firstLine="0"/>
              <w:jc w:val="both"/>
              <w:rPr>
                <w:rFonts w:ascii="Times New Roman" w:hAnsi="Times New Roman" w:cs="Times New Roman"/>
                <w:sz w:val="24"/>
                <w:szCs w:val="24"/>
              </w:rPr>
            </w:pPr>
            <w:r w:rsidRPr="00075B1D">
              <w:rPr>
                <w:rFonts w:ascii="Times New Roman" w:hAnsi="Times New Roman" w:cs="Times New Roman"/>
                <w:sz w:val="24"/>
                <w:szCs w:val="24"/>
              </w:rPr>
              <w:t xml:space="preserve">2.4. Количество размещаемых ценных бумаг дополнительного выпуска и их номинальная стоимость: </w:t>
            </w:r>
            <w:r w:rsidRPr="00075B1D">
              <w:rPr>
                <w:rFonts w:ascii="Times New Roman" w:hAnsi="Times New Roman" w:cs="Times New Roman"/>
                <w:b/>
                <w:sz w:val="24"/>
                <w:szCs w:val="24"/>
              </w:rPr>
              <w:t>139 384 100</w:t>
            </w:r>
            <w:r w:rsidRPr="00075B1D" w:rsidDel="009A0854">
              <w:rPr>
                <w:rFonts w:ascii="Times New Roman" w:hAnsi="Times New Roman" w:cs="Times New Roman"/>
                <w:b/>
                <w:sz w:val="24"/>
                <w:szCs w:val="24"/>
              </w:rPr>
              <w:t xml:space="preserve"> </w:t>
            </w:r>
            <w:r w:rsidRPr="00075B1D">
              <w:rPr>
                <w:rFonts w:ascii="Times New Roman" w:hAnsi="Times New Roman" w:cs="Times New Roman"/>
                <w:b/>
                <w:sz w:val="24"/>
                <w:szCs w:val="24"/>
              </w:rPr>
              <w:t>штук, номинальной стоимостью 5 рублей каждая.</w:t>
            </w:r>
          </w:p>
          <w:p w14:paraId="3FA2C1FD" w14:textId="77777777" w:rsidR="0054124B" w:rsidRPr="00075B1D" w:rsidRDefault="0054124B" w:rsidP="009940B3">
            <w:pPr>
              <w:pStyle w:val="ConsNormal"/>
              <w:ind w:left="57" w:right="57" w:firstLine="0"/>
              <w:jc w:val="both"/>
              <w:rPr>
                <w:rFonts w:ascii="Times New Roman" w:hAnsi="Times New Roman" w:cs="Times New Roman"/>
                <w:sz w:val="24"/>
                <w:szCs w:val="24"/>
              </w:rPr>
            </w:pPr>
            <w:r w:rsidRPr="00075B1D">
              <w:rPr>
                <w:rFonts w:ascii="Times New Roman" w:hAnsi="Times New Roman" w:cs="Times New Roman"/>
                <w:sz w:val="24"/>
                <w:szCs w:val="24"/>
              </w:rPr>
              <w:t xml:space="preserve">2.5. Способ размещения: </w:t>
            </w:r>
            <w:r w:rsidRPr="00075B1D">
              <w:rPr>
                <w:rFonts w:ascii="Times New Roman" w:hAnsi="Times New Roman" w:cs="Times New Roman"/>
                <w:b/>
                <w:sz w:val="24"/>
                <w:szCs w:val="24"/>
              </w:rPr>
              <w:t>открытая подписка</w:t>
            </w:r>
            <w:r w:rsidRPr="00075B1D">
              <w:rPr>
                <w:rFonts w:ascii="Times New Roman" w:hAnsi="Times New Roman" w:cs="Times New Roman"/>
                <w:sz w:val="24"/>
                <w:szCs w:val="24"/>
              </w:rPr>
              <w:t xml:space="preserve">. </w:t>
            </w:r>
          </w:p>
          <w:p w14:paraId="61F8EC36" w14:textId="77777777" w:rsidR="0054124B" w:rsidRPr="00075B1D" w:rsidRDefault="0054124B" w:rsidP="009940B3">
            <w:pPr>
              <w:ind w:left="57" w:right="57"/>
              <w:jc w:val="both"/>
              <w:rPr>
                <w:b/>
              </w:rPr>
            </w:pPr>
            <w:r w:rsidRPr="00075B1D">
              <w:t xml:space="preserve">2.6. Дата начала размещения ценных бумаг (порядок ее определения): </w:t>
            </w:r>
            <w:r w:rsidRPr="00075B1D">
              <w:rPr>
                <w:b/>
              </w:rPr>
              <w:t>09 ноября 2022 года;</w:t>
            </w:r>
          </w:p>
          <w:p w14:paraId="258AC3A3" w14:textId="77777777" w:rsidR="0054124B" w:rsidRPr="00075B1D" w:rsidRDefault="0054124B" w:rsidP="009940B3">
            <w:pPr>
              <w:ind w:left="57" w:right="57"/>
              <w:jc w:val="both"/>
              <w:rPr>
                <w:b/>
              </w:rPr>
            </w:pPr>
            <w:r w:rsidRPr="00075B1D">
              <w:t xml:space="preserve">2.7. Дата окончания размещения ценных бумаг (порядок ее определения): </w:t>
            </w:r>
            <w:r w:rsidRPr="00075B1D">
              <w:rPr>
                <w:b/>
              </w:rPr>
              <w:t>датой окончания размещения акций является наиболее ранняя из следующих дат: а) дата размещения последней акции, б) один год с даты государственной регистрации дополнительного выпуска акций.</w:t>
            </w:r>
          </w:p>
          <w:p w14:paraId="57800CE5" w14:textId="77777777" w:rsidR="0054124B" w:rsidRPr="00075B1D" w:rsidRDefault="0054124B" w:rsidP="009940B3">
            <w:pPr>
              <w:pStyle w:val="ConsNormal"/>
              <w:ind w:left="57" w:right="57" w:firstLine="0"/>
              <w:jc w:val="both"/>
              <w:rPr>
                <w:rFonts w:ascii="Times New Roman" w:hAnsi="Times New Roman" w:cs="Times New Roman"/>
                <w:b/>
                <w:sz w:val="24"/>
                <w:szCs w:val="24"/>
              </w:rPr>
            </w:pPr>
            <w:r w:rsidRPr="00075B1D">
              <w:rPr>
                <w:rFonts w:ascii="Times New Roman" w:hAnsi="Times New Roman" w:cs="Times New Roman"/>
                <w:sz w:val="24"/>
                <w:szCs w:val="24"/>
              </w:rPr>
              <w:t xml:space="preserve">2.8. Цена размещения ценных бумаг, в том числе для лиц, имеющих преимущественное право приобретения размещаемых ценных бумаг: </w:t>
            </w:r>
            <w:r w:rsidRPr="00075B1D">
              <w:rPr>
                <w:rFonts w:ascii="Times New Roman" w:hAnsi="Times New Roman" w:cs="Times New Roman"/>
                <w:b/>
                <w:sz w:val="24"/>
                <w:szCs w:val="24"/>
              </w:rPr>
              <w:t>5 (пять) рублей 5 (пять) копеек.</w:t>
            </w:r>
          </w:p>
          <w:p w14:paraId="667B8E5F" w14:textId="77777777" w:rsidR="0054124B" w:rsidRPr="00075B1D" w:rsidRDefault="0054124B" w:rsidP="009940B3">
            <w:pPr>
              <w:pStyle w:val="ConsNormal"/>
              <w:ind w:left="57" w:right="57" w:firstLine="0"/>
              <w:jc w:val="both"/>
              <w:rPr>
                <w:sz w:val="24"/>
                <w:szCs w:val="24"/>
              </w:rPr>
            </w:pPr>
          </w:p>
          <w:p w14:paraId="2D11C2E8" w14:textId="77777777" w:rsidR="0054124B" w:rsidRPr="00075B1D" w:rsidRDefault="0054124B" w:rsidP="009940B3">
            <w:pPr>
              <w:autoSpaceDE w:val="0"/>
              <w:autoSpaceDN w:val="0"/>
              <w:adjustRightInd w:val="0"/>
              <w:ind w:left="57" w:right="57"/>
              <w:jc w:val="both"/>
              <w:rPr>
                <w:b/>
                <w:bCs/>
              </w:rPr>
            </w:pPr>
            <w:r w:rsidRPr="00075B1D">
              <w:rPr>
                <w:b/>
                <w:bCs/>
              </w:rPr>
              <w:t xml:space="preserve">3. Сведения о размещении дополнительных акций в порядке осуществления преимущественного права приобретения размещаемых ценных бумаг: </w:t>
            </w:r>
          </w:p>
          <w:p w14:paraId="1D6F0371" w14:textId="77777777" w:rsidR="0054124B" w:rsidRPr="00075B1D" w:rsidRDefault="0054124B" w:rsidP="009940B3">
            <w:pPr>
              <w:suppressAutoHyphens/>
              <w:adjustRightInd w:val="0"/>
              <w:ind w:left="57" w:right="57"/>
              <w:jc w:val="both"/>
              <w:rPr>
                <w:b/>
              </w:rPr>
            </w:pPr>
            <w:r w:rsidRPr="00075B1D">
              <w:rPr>
                <w:bCs/>
                <w:iCs/>
              </w:rPr>
              <w:t xml:space="preserve">3.1. Срок действия преимущественного права приобретения размещаемых дополнительных акций: </w:t>
            </w:r>
            <w:r w:rsidRPr="00075B1D">
              <w:rPr>
                <w:b/>
              </w:rPr>
              <w:t>Срок действия преимущественного права составляет 8 (Восемь) рабочих дней с даты раскрытия информации, содержащейся в уведомлении о возможности осуществления преимущественного права приобретения размещаемых ценных бумаг - дополнительных акций эмитента.</w:t>
            </w:r>
          </w:p>
          <w:p w14:paraId="46E3D2A1" w14:textId="77777777" w:rsidR="0054124B" w:rsidRPr="00075B1D" w:rsidRDefault="0054124B" w:rsidP="009940B3">
            <w:pPr>
              <w:ind w:left="57" w:right="57"/>
              <w:jc w:val="both"/>
              <w:rPr>
                <w:bCs/>
                <w:iCs/>
              </w:rPr>
            </w:pPr>
            <w:r w:rsidRPr="00075B1D">
              <w:rPr>
                <w:bCs/>
                <w:iCs/>
              </w:rPr>
              <w:lastRenderedPageBreak/>
              <w:t xml:space="preserve">Уведомление опубликовано </w:t>
            </w:r>
            <w:r w:rsidRPr="00075B1D">
              <w:rPr>
                <w:b/>
              </w:rPr>
              <w:t>24.10.2022</w:t>
            </w:r>
            <w:r w:rsidRPr="00075B1D">
              <w:rPr>
                <w:bCs/>
                <w:iCs/>
              </w:rPr>
              <w:t xml:space="preserve"> на странице в сети Интернет по следующему адресу: </w:t>
            </w:r>
            <w:hyperlink r:id="rId8" w:anchor="/New/3335035" w:history="1">
              <w:r w:rsidRPr="00075B1D">
                <w:rPr>
                  <w:rStyle w:val="a3"/>
                  <w:bCs/>
                  <w:iCs/>
                  <w:color w:val="auto"/>
                </w:rPr>
                <w:t>https://www.e-disclosure.ru/Emitent/Publication/#/New/3335035</w:t>
              </w:r>
            </w:hyperlink>
          </w:p>
          <w:p w14:paraId="2D143664" w14:textId="77777777" w:rsidR="0054124B" w:rsidRPr="00075B1D" w:rsidRDefault="0054124B" w:rsidP="009940B3">
            <w:pPr>
              <w:ind w:left="57" w:right="57"/>
              <w:jc w:val="both"/>
              <w:rPr>
                <w:bCs/>
                <w:iCs/>
              </w:rPr>
            </w:pPr>
            <w:r w:rsidRPr="00075B1D">
              <w:rPr>
                <w:bCs/>
                <w:iCs/>
              </w:rPr>
              <w:t xml:space="preserve">Дата окончания размещения дополнительных акций лицам, имеющим преимущественное право: </w:t>
            </w:r>
            <w:r w:rsidRPr="00075B1D">
              <w:rPr>
                <w:b/>
                <w:bCs/>
                <w:iCs/>
              </w:rPr>
              <w:t>не применимо, заявления не поступили.</w:t>
            </w:r>
            <w:r w:rsidRPr="00075B1D">
              <w:rPr>
                <w:bCs/>
                <w:iCs/>
              </w:rPr>
              <w:t xml:space="preserve"> </w:t>
            </w:r>
          </w:p>
          <w:p w14:paraId="7B77743D" w14:textId="77777777" w:rsidR="0054124B" w:rsidRPr="00075B1D" w:rsidRDefault="0054124B" w:rsidP="009940B3">
            <w:pPr>
              <w:autoSpaceDE w:val="0"/>
              <w:autoSpaceDN w:val="0"/>
              <w:adjustRightInd w:val="0"/>
              <w:ind w:left="57" w:right="57"/>
              <w:jc w:val="both"/>
              <w:rPr>
                <w:bCs/>
                <w:iCs/>
              </w:rPr>
            </w:pPr>
            <w:r w:rsidRPr="00075B1D">
              <w:rPr>
                <w:bCs/>
                <w:iCs/>
              </w:rPr>
              <w:t xml:space="preserve">3.2. Дата, на которую составляется список лиц, имеющих преимущественное право приобретения размещаемых ценных бумаг: </w:t>
            </w:r>
            <w:r w:rsidRPr="00075B1D">
              <w:rPr>
                <w:b/>
              </w:rPr>
              <w:t>26 ноября 2021 г.</w:t>
            </w:r>
          </w:p>
          <w:p w14:paraId="30B3472A" w14:textId="77777777" w:rsidR="0054124B" w:rsidRPr="00075B1D" w:rsidRDefault="0054124B" w:rsidP="009940B3">
            <w:pPr>
              <w:ind w:left="57" w:right="57"/>
              <w:jc w:val="both"/>
              <w:rPr>
                <w:bCs/>
                <w:iCs/>
              </w:rPr>
            </w:pPr>
            <w:r w:rsidRPr="00075B1D">
              <w:rPr>
                <w:bCs/>
                <w:iCs/>
              </w:rPr>
              <w:t xml:space="preserve">3.3. Количество поступивших эмитенту заявлений о приобретении лицами размещаемых дополнительных акций в порядке реализации ими своего преимущественного права: </w:t>
            </w:r>
            <w:r w:rsidRPr="00075B1D">
              <w:rPr>
                <w:b/>
              </w:rPr>
              <w:t>0.</w:t>
            </w:r>
          </w:p>
          <w:p w14:paraId="68BDEB99" w14:textId="77777777" w:rsidR="0054124B" w:rsidRPr="00075B1D" w:rsidRDefault="0054124B" w:rsidP="009940B3">
            <w:pPr>
              <w:ind w:left="57" w:right="57"/>
              <w:jc w:val="both"/>
              <w:rPr>
                <w:bCs/>
                <w:iCs/>
              </w:rPr>
            </w:pPr>
            <w:r w:rsidRPr="00075B1D">
              <w:rPr>
                <w:bCs/>
                <w:iCs/>
              </w:rPr>
              <w:t xml:space="preserve">3.4. Количество удовлетворенных заявлений о приобретении лицами размещаемых дополнительных акций в порядке реализации ими своего преимущественного права: </w:t>
            </w:r>
            <w:r w:rsidRPr="00075B1D">
              <w:rPr>
                <w:b/>
              </w:rPr>
              <w:t>0.</w:t>
            </w:r>
          </w:p>
          <w:p w14:paraId="59044883" w14:textId="77777777" w:rsidR="0054124B" w:rsidRPr="00075B1D" w:rsidRDefault="0054124B" w:rsidP="009940B3">
            <w:pPr>
              <w:ind w:left="57" w:right="57"/>
              <w:jc w:val="both"/>
              <w:rPr>
                <w:bCs/>
                <w:iCs/>
              </w:rPr>
            </w:pPr>
            <w:r w:rsidRPr="00075B1D">
              <w:rPr>
                <w:bCs/>
                <w:iCs/>
              </w:rPr>
              <w:t xml:space="preserve">3.5. Количество акций, размещенных в результате осуществления лицами своего преимущественного права из приобретения: </w:t>
            </w:r>
            <w:r w:rsidRPr="00075B1D">
              <w:rPr>
                <w:b/>
              </w:rPr>
              <w:t>0.</w:t>
            </w:r>
          </w:p>
          <w:p w14:paraId="145EB411" w14:textId="77777777" w:rsidR="0054124B" w:rsidRPr="00075B1D" w:rsidRDefault="0054124B" w:rsidP="009940B3">
            <w:pPr>
              <w:ind w:left="57" w:right="57"/>
              <w:jc w:val="both"/>
              <w:rPr>
                <w:bCs/>
                <w:iCs/>
              </w:rPr>
            </w:pPr>
            <w:r w:rsidRPr="00075B1D">
              <w:rPr>
                <w:bCs/>
                <w:iCs/>
              </w:rPr>
              <w:t xml:space="preserve">3.6. Количество размещаемых дополнительных акций, оставшихся после реализации лицами своего преимущественного права: </w:t>
            </w:r>
            <w:r w:rsidRPr="00075B1D">
              <w:rPr>
                <w:b/>
              </w:rPr>
              <w:t>139 384 100</w:t>
            </w:r>
            <w:r w:rsidRPr="00075B1D" w:rsidDel="009A0854">
              <w:rPr>
                <w:b/>
              </w:rPr>
              <w:t xml:space="preserve"> </w:t>
            </w:r>
            <w:r w:rsidRPr="00075B1D">
              <w:rPr>
                <w:b/>
              </w:rPr>
              <w:t>штук</w:t>
            </w:r>
            <w:r w:rsidRPr="00075B1D">
              <w:rPr>
                <w:bCs/>
                <w:iCs/>
              </w:rPr>
              <w:t>.</w:t>
            </w:r>
          </w:p>
          <w:p w14:paraId="102EA7ED" w14:textId="77777777" w:rsidR="0054124B" w:rsidRPr="00075B1D" w:rsidRDefault="0054124B" w:rsidP="009940B3">
            <w:pPr>
              <w:ind w:left="57" w:right="57"/>
              <w:jc w:val="both"/>
              <w:rPr>
                <w:bCs/>
                <w:iCs/>
              </w:rPr>
            </w:pPr>
            <w:r w:rsidRPr="00075B1D">
              <w:rPr>
                <w:bCs/>
                <w:iCs/>
              </w:rPr>
              <w:t xml:space="preserve">3.7. Общее количество акций дополнительного выпуска, подлежащее размещению по открытой подписке после реализации акционерами преимущественного права: </w:t>
            </w:r>
            <w:r w:rsidRPr="00075B1D">
              <w:rPr>
                <w:b/>
              </w:rPr>
              <w:t>139 384 100</w:t>
            </w:r>
            <w:r w:rsidRPr="00075B1D" w:rsidDel="009A0854">
              <w:rPr>
                <w:b/>
              </w:rPr>
              <w:t xml:space="preserve"> </w:t>
            </w:r>
            <w:r w:rsidRPr="00075B1D">
              <w:rPr>
                <w:b/>
              </w:rPr>
              <w:t>штук</w:t>
            </w:r>
            <w:r w:rsidRPr="00075B1D">
              <w:rPr>
                <w:bCs/>
                <w:iCs/>
              </w:rPr>
              <w:t>.</w:t>
            </w:r>
          </w:p>
          <w:p w14:paraId="68ECE7F7" w14:textId="53CB00A1" w:rsidR="0054124B" w:rsidRPr="00075B1D" w:rsidRDefault="0054124B" w:rsidP="009940B3">
            <w:pPr>
              <w:ind w:left="57" w:right="57"/>
              <w:jc w:val="both"/>
              <w:rPr>
                <w:bCs/>
                <w:iCs/>
              </w:rPr>
            </w:pPr>
            <w:r w:rsidRPr="00075B1D">
              <w:rPr>
                <w:bCs/>
                <w:iCs/>
              </w:rPr>
              <w:t xml:space="preserve">3.8. Дата подведения итогов осуществления преимущественного права приобретения размещаемых дополнительных ценных бумаг: </w:t>
            </w:r>
            <w:r w:rsidRPr="00075B1D">
              <w:rPr>
                <w:b/>
              </w:rPr>
              <w:t>17.11.2022.</w:t>
            </w:r>
          </w:p>
          <w:p w14:paraId="638BE9C3" w14:textId="77777777" w:rsidR="0054124B" w:rsidRPr="00075B1D" w:rsidRDefault="0054124B" w:rsidP="009940B3">
            <w:pPr>
              <w:pStyle w:val="prilozhenie"/>
              <w:ind w:left="57" w:right="57" w:firstLine="0"/>
              <w:rPr>
                <w:bCs/>
                <w:iCs/>
                <w:lang w:eastAsia="ru-RU"/>
              </w:rPr>
            </w:pPr>
          </w:p>
          <w:p w14:paraId="0993C16C" w14:textId="77777777" w:rsidR="0054124B" w:rsidRPr="00075B1D" w:rsidRDefault="0054124B" w:rsidP="009940B3">
            <w:pPr>
              <w:pStyle w:val="prilozhenie"/>
              <w:ind w:left="57" w:right="57" w:firstLine="0"/>
              <w:rPr>
                <w:bCs/>
                <w:iCs/>
                <w:lang w:eastAsia="ru-RU"/>
              </w:rPr>
            </w:pPr>
          </w:p>
          <w:tbl>
            <w:tblPr>
              <w:tblW w:w="9890" w:type="dxa"/>
              <w:tblLayout w:type="fixed"/>
              <w:tblCellMar>
                <w:left w:w="28" w:type="dxa"/>
                <w:right w:w="28" w:type="dxa"/>
              </w:tblCellMar>
              <w:tblLook w:val="0000" w:firstRow="0" w:lastRow="0" w:firstColumn="0" w:lastColumn="0" w:noHBand="0" w:noVBand="0"/>
            </w:tblPr>
            <w:tblGrid>
              <w:gridCol w:w="5562"/>
              <w:gridCol w:w="1609"/>
              <w:gridCol w:w="175"/>
              <w:gridCol w:w="2544"/>
            </w:tblGrid>
            <w:tr w:rsidR="00075B1D" w:rsidRPr="00075B1D" w14:paraId="366CEC51" w14:textId="77777777" w:rsidTr="009940B3">
              <w:tc>
                <w:tcPr>
                  <w:tcW w:w="5562" w:type="dxa"/>
                  <w:tcBorders>
                    <w:top w:val="nil"/>
                    <w:left w:val="nil"/>
                    <w:bottom w:val="nil"/>
                    <w:right w:val="nil"/>
                  </w:tcBorders>
                  <w:vAlign w:val="bottom"/>
                </w:tcPr>
                <w:p w14:paraId="04700F13" w14:textId="77777777" w:rsidR="0054124B" w:rsidRPr="00075B1D" w:rsidRDefault="0054124B" w:rsidP="009940B3">
                  <w:pPr>
                    <w:ind w:left="57" w:right="57"/>
                    <w:jc w:val="both"/>
                    <w:rPr>
                      <w:b/>
                    </w:rPr>
                  </w:pPr>
                  <w:r w:rsidRPr="00075B1D">
                    <w:rPr>
                      <w:b/>
                    </w:rPr>
                    <w:t>Генеральный директор</w:t>
                  </w:r>
                </w:p>
                <w:p w14:paraId="59FF0047" w14:textId="77777777" w:rsidR="0054124B" w:rsidRPr="00075B1D" w:rsidRDefault="0054124B" w:rsidP="009940B3">
                  <w:pPr>
                    <w:ind w:left="57" w:right="57"/>
                    <w:jc w:val="both"/>
                    <w:rPr>
                      <w:b/>
                    </w:rPr>
                  </w:pPr>
                  <w:r w:rsidRPr="00075B1D">
                    <w:rPr>
                      <w:b/>
                    </w:rPr>
                    <w:t>ПАО «Фармсинтез»</w:t>
                  </w:r>
                </w:p>
              </w:tc>
              <w:tc>
                <w:tcPr>
                  <w:tcW w:w="1609" w:type="dxa"/>
                  <w:tcBorders>
                    <w:top w:val="nil"/>
                    <w:left w:val="nil"/>
                    <w:bottom w:val="single" w:sz="4" w:space="0" w:color="auto"/>
                    <w:right w:val="nil"/>
                  </w:tcBorders>
                  <w:vAlign w:val="bottom"/>
                </w:tcPr>
                <w:p w14:paraId="26BA7C5C" w14:textId="77777777" w:rsidR="0054124B" w:rsidRPr="00075B1D" w:rsidRDefault="0054124B" w:rsidP="009940B3">
                  <w:pPr>
                    <w:suppressAutoHyphens/>
                    <w:ind w:left="57" w:right="57"/>
                    <w:jc w:val="center"/>
                    <w:rPr>
                      <w:b/>
                    </w:rPr>
                  </w:pPr>
                </w:p>
              </w:tc>
              <w:tc>
                <w:tcPr>
                  <w:tcW w:w="175" w:type="dxa"/>
                  <w:tcBorders>
                    <w:top w:val="nil"/>
                    <w:left w:val="nil"/>
                    <w:bottom w:val="nil"/>
                    <w:right w:val="nil"/>
                  </w:tcBorders>
                  <w:vAlign w:val="bottom"/>
                </w:tcPr>
                <w:p w14:paraId="5B41A3B8" w14:textId="77777777" w:rsidR="0054124B" w:rsidRPr="00075B1D" w:rsidRDefault="0054124B" w:rsidP="009940B3">
                  <w:pPr>
                    <w:suppressAutoHyphens/>
                    <w:ind w:left="57" w:right="57"/>
                    <w:jc w:val="center"/>
                    <w:rPr>
                      <w:b/>
                    </w:rPr>
                  </w:pPr>
                </w:p>
              </w:tc>
              <w:tc>
                <w:tcPr>
                  <w:tcW w:w="2544" w:type="dxa"/>
                  <w:tcBorders>
                    <w:top w:val="nil"/>
                    <w:left w:val="nil"/>
                    <w:bottom w:val="single" w:sz="4" w:space="0" w:color="auto"/>
                    <w:right w:val="nil"/>
                  </w:tcBorders>
                  <w:vAlign w:val="bottom"/>
                </w:tcPr>
                <w:p w14:paraId="0032C2EF" w14:textId="77777777" w:rsidR="0054124B" w:rsidRPr="00075B1D" w:rsidRDefault="0054124B" w:rsidP="009940B3">
                  <w:pPr>
                    <w:ind w:left="57" w:right="57"/>
                    <w:jc w:val="both"/>
                    <w:rPr>
                      <w:b/>
                    </w:rPr>
                  </w:pPr>
                  <w:r w:rsidRPr="00075B1D">
                    <w:rPr>
                      <w:b/>
                    </w:rPr>
                    <w:t>Е.А. Прилежаев</w:t>
                  </w:r>
                  <w:bookmarkStart w:id="0" w:name="_GoBack"/>
                  <w:bookmarkEnd w:id="0"/>
                </w:p>
              </w:tc>
            </w:tr>
          </w:tbl>
          <w:p w14:paraId="0BB2C0B0" w14:textId="77777777" w:rsidR="0054124B" w:rsidRPr="00075B1D" w:rsidRDefault="0054124B" w:rsidP="009940B3">
            <w:pPr>
              <w:pStyle w:val="prilozhenie"/>
              <w:ind w:left="57" w:right="57" w:firstLine="0"/>
              <w:rPr>
                <w:b/>
                <w:bCs/>
              </w:rPr>
            </w:pPr>
          </w:p>
          <w:p w14:paraId="6FA98DF5" w14:textId="77777777" w:rsidR="00DC62F3" w:rsidRPr="00075B1D" w:rsidRDefault="00E62559" w:rsidP="009940B3">
            <w:pPr>
              <w:pStyle w:val="af"/>
              <w:numPr>
                <w:ilvl w:val="0"/>
                <w:numId w:val="9"/>
              </w:numPr>
              <w:ind w:left="57" w:right="57" w:firstLine="0"/>
              <w:jc w:val="both"/>
              <w:rPr>
                <w:rFonts w:ascii="Times New Roman" w:eastAsia="Times New Roman" w:hAnsi="Times New Roman" w:cs="Times New Roman"/>
                <w:sz w:val="24"/>
                <w:szCs w:val="24"/>
              </w:rPr>
            </w:pPr>
            <w:r w:rsidRPr="00075B1D">
              <w:rPr>
                <w:rFonts w:ascii="Times New Roman" w:hAnsi="Times New Roman" w:cs="Times New Roman"/>
                <w:sz w:val="24"/>
                <w:szCs w:val="24"/>
              </w:rPr>
              <w:t>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000571DE" w:rsidRPr="00075B1D">
              <w:rPr>
                <w:rFonts w:ascii="Times New Roman" w:hAnsi="Times New Roman" w:cs="Times New Roman"/>
                <w:sz w:val="24"/>
                <w:szCs w:val="24"/>
              </w:rPr>
              <w:t xml:space="preserve"> </w:t>
            </w:r>
            <w:r w:rsidR="00133176" w:rsidRPr="00075B1D">
              <w:rPr>
                <w:rFonts w:ascii="Times New Roman" w:hAnsi="Times New Roman" w:cs="Times New Roman"/>
                <w:b/>
                <w:bCs/>
                <w:sz w:val="24"/>
                <w:szCs w:val="24"/>
              </w:rPr>
              <w:t xml:space="preserve">акции обыкновенные, регистрационный номер выпуска: 1-02-09669-J, дата регистрации выпуска 09.08.2004, </w:t>
            </w:r>
            <w:r w:rsidR="00133176" w:rsidRPr="00075B1D">
              <w:rPr>
                <w:rFonts w:ascii="Times New Roman" w:eastAsia="Times New Roman" w:hAnsi="Times New Roman" w:cs="Times New Roman"/>
                <w:b/>
                <w:bCs/>
                <w:sz w:val="24"/>
                <w:szCs w:val="24"/>
              </w:rPr>
              <w:t>международный код (номер) идентификации ценных бумаг (ISIN) – RU000A0JR514.</w:t>
            </w:r>
          </w:p>
          <w:p w14:paraId="79C21625" w14:textId="2BD04310" w:rsidR="001A11E8" w:rsidRPr="00075B1D" w:rsidRDefault="00E62559" w:rsidP="009940B3">
            <w:pPr>
              <w:pStyle w:val="af"/>
              <w:numPr>
                <w:ilvl w:val="0"/>
                <w:numId w:val="9"/>
              </w:numPr>
              <w:ind w:left="57" w:right="57" w:firstLine="0"/>
              <w:jc w:val="both"/>
              <w:rPr>
                <w:rFonts w:ascii="Times New Roman" w:eastAsia="Times New Roman" w:hAnsi="Times New Roman" w:cs="Times New Roman"/>
                <w:sz w:val="24"/>
                <w:szCs w:val="24"/>
              </w:rPr>
            </w:pPr>
            <w:r w:rsidRPr="00075B1D">
              <w:rPr>
                <w:rFonts w:ascii="Times New Roman" w:eastAsia="Times New Roman" w:hAnsi="Times New Roman" w:cs="Times New Roman"/>
                <w:sz w:val="24"/>
                <w:szCs w:val="24"/>
              </w:rPr>
              <w:t>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00DE015F" w:rsidRPr="00075B1D">
              <w:rPr>
                <w:rFonts w:ascii="Times New Roman" w:eastAsia="Times New Roman" w:hAnsi="Times New Roman" w:cs="Times New Roman"/>
                <w:sz w:val="24"/>
                <w:szCs w:val="24"/>
              </w:rPr>
              <w:t xml:space="preserve"> </w:t>
            </w:r>
            <w:r w:rsidR="004B735E" w:rsidRPr="00075B1D">
              <w:rPr>
                <w:rFonts w:ascii="Times New Roman" w:eastAsia="Times New Roman" w:hAnsi="Times New Roman" w:cs="Times New Roman"/>
                <w:b/>
                <w:sz w:val="24"/>
                <w:szCs w:val="24"/>
              </w:rPr>
              <w:t>17</w:t>
            </w:r>
            <w:r w:rsidR="00CA61BE" w:rsidRPr="00075B1D">
              <w:rPr>
                <w:rFonts w:ascii="Times New Roman" w:eastAsia="Times New Roman" w:hAnsi="Times New Roman" w:cs="Times New Roman"/>
                <w:b/>
                <w:bCs/>
                <w:sz w:val="24"/>
                <w:szCs w:val="24"/>
              </w:rPr>
              <w:t>.11</w:t>
            </w:r>
            <w:r w:rsidR="00DE015F" w:rsidRPr="00075B1D">
              <w:rPr>
                <w:rFonts w:ascii="Times New Roman" w:eastAsia="Times New Roman" w:hAnsi="Times New Roman" w:cs="Times New Roman"/>
                <w:b/>
                <w:bCs/>
                <w:sz w:val="24"/>
                <w:szCs w:val="24"/>
              </w:rPr>
              <w:t>.2022.</w:t>
            </w:r>
          </w:p>
        </w:tc>
      </w:tr>
    </w:tbl>
    <w:p w14:paraId="7B0E4866" w14:textId="75A70313" w:rsidR="001821D4" w:rsidRPr="00075B1D" w:rsidRDefault="001821D4" w:rsidP="00E34668">
      <w:pPr>
        <w:tabs>
          <w:tab w:val="left" w:pos="360"/>
        </w:tabs>
        <w:spacing w:after="120"/>
        <w:jc w:val="both"/>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075B1D" w:rsidRPr="00075B1D" w14:paraId="0A3ABE99" w14:textId="77777777" w:rsidTr="00111985">
        <w:tc>
          <w:tcPr>
            <w:tcW w:w="9979" w:type="dxa"/>
            <w:gridSpan w:val="12"/>
            <w:tcBorders>
              <w:top w:val="single" w:sz="4" w:space="0" w:color="auto"/>
              <w:left w:val="single" w:sz="4" w:space="0" w:color="auto"/>
              <w:bottom w:val="single" w:sz="4" w:space="0" w:color="auto"/>
              <w:right w:val="single" w:sz="4" w:space="0" w:color="auto"/>
            </w:tcBorders>
          </w:tcPr>
          <w:p w14:paraId="2FB33D13" w14:textId="77777777" w:rsidR="00533A42" w:rsidRPr="00075B1D" w:rsidRDefault="00533A42" w:rsidP="00111985">
            <w:pPr>
              <w:jc w:val="center"/>
            </w:pPr>
            <w:r w:rsidRPr="00075B1D">
              <w:t>3. Подпись</w:t>
            </w:r>
          </w:p>
        </w:tc>
      </w:tr>
      <w:tr w:rsidR="00075B1D" w:rsidRPr="00075B1D" w14:paraId="094AE1B8" w14:textId="77777777" w:rsidTr="00111985">
        <w:tc>
          <w:tcPr>
            <w:tcW w:w="4706" w:type="dxa"/>
            <w:gridSpan w:val="8"/>
            <w:tcBorders>
              <w:top w:val="single" w:sz="4" w:space="0" w:color="auto"/>
              <w:left w:val="single" w:sz="4" w:space="0" w:color="auto"/>
              <w:bottom w:val="nil"/>
              <w:right w:val="nil"/>
            </w:tcBorders>
            <w:vAlign w:val="bottom"/>
          </w:tcPr>
          <w:p w14:paraId="0AAEAC02" w14:textId="77777777" w:rsidR="00533A42" w:rsidRPr="00075B1D" w:rsidRDefault="00533A42" w:rsidP="00111985">
            <w:pPr>
              <w:ind w:left="57"/>
            </w:pPr>
            <w:r w:rsidRPr="00075B1D">
              <w:t>3.1. Генеральный директор</w:t>
            </w:r>
          </w:p>
        </w:tc>
        <w:tc>
          <w:tcPr>
            <w:tcW w:w="1701" w:type="dxa"/>
            <w:tcBorders>
              <w:top w:val="nil"/>
              <w:left w:val="nil"/>
              <w:bottom w:val="single" w:sz="4" w:space="0" w:color="auto"/>
              <w:right w:val="nil"/>
            </w:tcBorders>
            <w:vAlign w:val="bottom"/>
          </w:tcPr>
          <w:p w14:paraId="4F7F483F" w14:textId="77777777" w:rsidR="00533A42" w:rsidRPr="00075B1D" w:rsidRDefault="00533A42" w:rsidP="00111985">
            <w:pPr>
              <w:jc w:val="center"/>
            </w:pPr>
          </w:p>
          <w:p w14:paraId="6A097395" w14:textId="173A81BF" w:rsidR="001A11E8" w:rsidRPr="00075B1D" w:rsidRDefault="00075B1D" w:rsidP="00111985">
            <w:pPr>
              <w:jc w:val="center"/>
            </w:pPr>
            <w:r w:rsidRPr="00075B1D">
              <w:t>подпись</w:t>
            </w:r>
          </w:p>
        </w:tc>
        <w:tc>
          <w:tcPr>
            <w:tcW w:w="907" w:type="dxa"/>
            <w:tcBorders>
              <w:top w:val="nil"/>
              <w:left w:val="nil"/>
              <w:bottom w:val="nil"/>
              <w:right w:val="nil"/>
            </w:tcBorders>
            <w:vAlign w:val="bottom"/>
          </w:tcPr>
          <w:p w14:paraId="07A41770" w14:textId="77777777" w:rsidR="00533A42" w:rsidRPr="00075B1D" w:rsidRDefault="00533A42" w:rsidP="00111985"/>
        </w:tc>
        <w:tc>
          <w:tcPr>
            <w:tcW w:w="2552" w:type="dxa"/>
            <w:tcBorders>
              <w:top w:val="nil"/>
              <w:left w:val="nil"/>
              <w:bottom w:val="nil"/>
              <w:right w:val="nil"/>
            </w:tcBorders>
            <w:vAlign w:val="bottom"/>
          </w:tcPr>
          <w:p w14:paraId="3D23E447" w14:textId="77777777" w:rsidR="00533A42" w:rsidRPr="00075B1D" w:rsidRDefault="00533A42" w:rsidP="00111985">
            <w:pPr>
              <w:jc w:val="center"/>
            </w:pPr>
            <w:r w:rsidRPr="00075B1D">
              <w:t>Е.А. Прилежаев</w:t>
            </w:r>
          </w:p>
        </w:tc>
        <w:tc>
          <w:tcPr>
            <w:tcW w:w="113" w:type="dxa"/>
            <w:tcBorders>
              <w:top w:val="single" w:sz="4" w:space="0" w:color="auto"/>
              <w:left w:val="nil"/>
              <w:bottom w:val="nil"/>
              <w:right w:val="single" w:sz="4" w:space="0" w:color="auto"/>
            </w:tcBorders>
            <w:vAlign w:val="bottom"/>
          </w:tcPr>
          <w:p w14:paraId="24F9414D" w14:textId="77777777" w:rsidR="00533A42" w:rsidRPr="00075B1D" w:rsidRDefault="00533A42" w:rsidP="00111985"/>
        </w:tc>
      </w:tr>
      <w:tr w:rsidR="00075B1D" w:rsidRPr="00075B1D" w14:paraId="2A3B9C76" w14:textId="77777777" w:rsidTr="00111985">
        <w:tc>
          <w:tcPr>
            <w:tcW w:w="4706" w:type="dxa"/>
            <w:gridSpan w:val="8"/>
            <w:tcBorders>
              <w:top w:val="nil"/>
              <w:left w:val="single" w:sz="4" w:space="0" w:color="auto"/>
              <w:bottom w:val="nil"/>
              <w:right w:val="nil"/>
            </w:tcBorders>
          </w:tcPr>
          <w:p w14:paraId="18C212E8" w14:textId="77777777" w:rsidR="00533A42" w:rsidRPr="00075B1D" w:rsidRDefault="00533A42" w:rsidP="00111985">
            <w:pPr>
              <w:ind w:left="57"/>
            </w:pPr>
          </w:p>
        </w:tc>
        <w:tc>
          <w:tcPr>
            <w:tcW w:w="1701" w:type="dxa"/>
            <w:tcBorders>
              <w:top w:val="nil"/>
              <w:left w:val="nil"/>
              <w:bottom w:val="nil"/>
              <w:right w:val="nil"/>
            </w:tcBorders>
          </w:tcPr>
          <w:p w14:paraId="685C178F" w14:textId="7EA190BC" w:rsidR="00533A42" w:rsidRPr="00075B1D" w:rsidRDefault="00533A42" w:rsidP="00111985">
            <w:pPr>
              <w:jc w:val="center"/>
            </w:pPr>
          </w:p>
        </w:tc>
        <w:tc>
          <w:tcPr>
            <w:tcW w:w="907" w:type="dxa"/>
            <w:tcBorders>
              <w:top w:val="nil"/>
              <w:left w:val="nil"/>
              <w:bottom w:val="nil"/>
              <w:right w:val="nil"/>
            </w:tcBorders>
          </w:tcPr>
          <w:p w14:paraId="3000BB84" w14:textId="77777777" w:rsidR="00533A42" w:rsidRPr="00075B1D" w:rsidRDefault="00533A42" w:rsidP="00111985"/>
        </w:tc>
        <w:tc>
          <w:tcPr>
            <w:tcW w:w="2552" w:type="dxa"/>
            <w:tcBorders>
              <w:top w:val="nil"/>
              <w:left w:val="nil"/>
              <w:bottom w:val="nil"/>
              <w:right w:val="nil"/>
            </w:tcBorders>
          </w:tcPr>
          <w:p w14:paraId="27268661" w14:textId="77777777" w:rsidR="00533A42" w:rsidRPr="00075B1D" w:rsidRDefault="00533A42" w:rsidP="00111985">
            <w:pPr>
              <w:jc w:val="center"/>
            </w:pPr>
          </w:p>
        </w:tc>
        <w:tc>
          <w:tcPr>
            <w:tcW w:w="113" w:type="dxa"/>
            <w:tcBorders>
              <w:top w:val="nil"/>
              <w:left w:val="nil"/>
              <w:bottom w:val="nil"/>
              <w:right w:val="single" w:sz="4" w:space="0" w:color="auto"/>
            </w:tcBorders>
          </w:tcPr>
          <w:p w14:paraId="0BFDFF66" w14:textId="77777777" w:rsidR="00533A42" w:rsidRPr="00075B1D" w:rsidRDefault="00533A42" w:rsidP="00111985"/>
        </w:tc>
      </w:tr>
      <w:tr w:rsidR="00075B1D" w:rsidRPr="00075B1D" w14:paraId="527176E8" w14:textId="77777777" w:rsidTr="00111985">
        <w:tc>
          <w:tcPr>
            <w:tcW w:w="1077" w:type="dxa"/>
            <w:tcBorders>
              <w:top w:val="nil"/>
              <w:left w:val="single" w:sz="4" w:space="0" w:color="auto"/>
              <w:bottom w:val="nil"/>
              <w:right w:val="nil"/>
            </w:tcBorders>
            <w:vAlign w:val="bottom"/>
          </w:tcPr>
          <w:p w14:paraId="4BEE1B61" w14:textId="77777777" w:rsidR="00533A42" w:rsidRPr="00075B1D" w:rsidRDefault="00533A42" w:rsidP="00111985">
            <w:pPr>
              <w:spacing w:before="240"/>
              <w:ind w:left="57"/>
            </w:pPr>
            <w:r w:rsidRPr="00075B1D">
              <w:t>3.2. Дата</w:t>
            </w:r>
          </w:p>
        </w:tc>
        <w:tc>
          <w:tcPr>
            <w:tcW w:w="198" w:type="dxa"/>
            <w:tcBorders>
              <w:top w:val="nil"/>
              <w:left w:val="nil"/>
              <w:bottom w:val="nil"/>
              <w:right w:val="nil"/>
            </w:tcBorders>
            <w:vAlign w:val="bottom"/>
          </w:tcPr>
          <w:p w14:paraId="089D4124" w14:textId="77777777" w:rsidR="00533A42" w:rsidRPr="00075B1D" w:rsidRDefault="00533A42" w:rsidP="00111985">
            <w:pPr>
              <w:jc w:val="right"/>
            </w:pPr>
            <w:r w:rsidRPr="00075B1D">
              <w:t>«</w:t>
            </w:r>
          </w:p>
        </w:tc>
        <w:tc>
          <w:tcPr>
            <w:tcW w:w="397" w:type="dxa"/>
            <w:tcBorders>
              <w:top w:val="nil"/>
              <w:left w:val="nil"/>
              <w:bottom w:val="single" w:sz="4" w:space="0" w:color="auto"/>
              <w:right w:val="nil"/>
            </w:tcBorders>
            <w:vAlign w:val="bottom"/>
          </w:tcPr>
          <w:p w14:paraId="13D8C0F2" w14:textId="182A79D0" w:rsidR="00533A42" w:rsidRPr="00075B1D" w:rsidRDefault="0054124B" w:rsidP="00111985">
            <w:pPr>
              <w:jc w:val="center"/>
              <w:rPr>
                <w:bCs/>
              </w:rPr>
            </w:pPr>
            <w:r w:rsidRPr="00075B1D">
              <w:rPr>
                <w:bCs/>
              </w:rPr>
              <w:t>17</w:t>
            </w:r>
          </w:p>
        </w:tc>
        <w:tc>
          <w:tcPr>
            <w:tcW w:w="255" w:type="dxa"/>
            <w:tcBorders>
              <w:top w:val="nil"/>
              <w:left w:val="nil"/>
              <w:bottom w:val="nil"/>
              <w:right w:val="nil"/>
            </w:tcBorders>
            <w:vAlign w:val="bottom"/>
          </w:tcPr>
          <w:p w14:paraId="7D6EC699" w14:textId="77777777" w:rsidR="00533A42" w:rsidRPr="00075B1D" w:rsidRDefault="00533A42" w:rsidP="00111985">
            <w:pPr>
              <w:rPr>
                <w:bCs/>
              </w:rPr>
            </w:pPr>
            <w:r w:rsidRPr="00075B1D">
              <w:rPr>
                <w:bCs/>
              </w:rPr>
              <w:t>»</w:t>
            </w:r>
          </w:p>
        </w:tc>
        <w:tc>
          <w:tcPr>
            <w:tcW w:w="1474" w:type="dxa"/>
            <w:tcBorders>
              <w:top w:val="nil"/>
              <w:left w:val="nil"/>
              <w:bottom w:val="single" w:sz="4" w:space="0" w:color="auto"/>
              <w:right w:val="nil"/>
            </w:tcBorders>
            <w:vAlign w:val="bottom"/>
          </w:tcPr>
          <w:p w14:paraId="1DC5CEC0" w14:textId="4A0994BA" w:rsidR="00533A42" w:rsidRPr="00075B1D" w:rsidRDefault="00CA61BE" w:rsidP="00111985">
            <w:pPr>
              <w:jc w:val="center"/>
              <w:rPr>
                <w:bCs/>
              </w:rPr>
            </w:pPr>
            <w:r w:rsidRPr="00075B1D">
              <w:rPr>
                <w:bCs/>
              </w:rPr>
              <w:t>ноября</w:t>
            </w:r>
          </w:p>
        </w:tc>
        <w:tc>
          <w:tcPr>
            <w:tcW w:w="397" w:type="dxa"/>
            <w:tcBorders>
              <w:top w:val="nil"/>
              <w:left w:val="nil"/>
              <w:bottom w:val="nil"/>
              <w:right w:val="nil"/>
            </w:tcBorders>
            <w:vAlign w:val="bottom"/>
          </w:tcPr>
          <w:p w14:paraId="48995645" w14:textId="77777777" w:rsidR="00533A42" w:rsidRPr="00075B1D" w:rsidRDefault="00533A42" w:rsidP="00111985">
            <w:pPr>
              <w:jc w:val="right"/>
            </w:pPr>
            <w:r w:rsidRPr="00075B1D">
              <w:t>20</w:t>
            </w:r>
          </w:p>
        </w:tc>
        <w:tc>
          <w:tcPr>
            <w:tcW w:w="369" w:type="dxa"/>
            <w:tcBorders>
              <w:top w:val="nil"/>
              <w:left w:val="nil"/>
              <w:bottom w:val="single" w:sz="4" w:space="0" w:color="auto"/>
              <w:right w:val="nil"/>
            </w:tcBorders>
            <w:vAlign w:val="bottom"/>
          </w:tcPr>
          <w:p w14:paraId="3D8F6996" w14:textId="77777777" w:rsidR="00533A42" w:rsidRPr="00075B1D" w:rsidRDefault="00533A42" w:rsidP="00111985">
            <w:r w:rsidRPr="00075B1D">
              <w:t>22</w:t>
            </w:r>
          </w:p>
        </w:tc>
        <w:tc>
          <w:tcPr>
            <w:tcW w:w="539" w:type="dxa"/>
            <w:tcBorders>
              <w:top w:val="nil"/>
              <w:left w:val="nil"/>
              <w:bottom w:val="nil"/>
              <w:right w:val="nil"/>
            </w:tcBorders>
            <w:vAlign w:val="bottom"/>
          </w:tcPr>
          <w:p w14:paraId="41D27523" w14:textId="77777777" w:rsidR="00533A42" w:rsidRPr="00075B1D" w:rsidRDefault="00533A42" w:rsidP="00111985">
            <w:pPr>
              <w:ind w:left="57"/>
            </w:pPr>
            <w:r w:rsidRPr="00075B1D">
              <w:t>г.</w:t>
            </w:r>
          </w:p>
        </w:tc>
        <w:tc>
          <w:tcPr>
            <w:tcW w:w="1701" w:type="dxa"/>
            <w:tcBorders>
              <w:top w:val="nil"/>
              <w:left w:val="nil"/>
              <w:bottom w:val="nil"/>
              <w:right w:val="nil"/>
            </w:tcBorders>
            <w:vAlign w:val="bottom"/>
          </w:tcPr>
          <w:p w14:paraId="41E48ACB" w14:textId="77777777" w:rsidR="00533A42" w:rsidRPr="00075B1D" w:rsidRDefault="00533A42" w:rsidP="00111985">
            <w:pPr>
              <w:jc w:val="center"/>
            </w:pPr>
            <w:r w:rsidRPr="00075B1D">
              <w:t>М.П.</w:t>
            </w:r>
          </w:p>
        </w:tc>
        <w:tc>
          <w:tcPr>
            <w:tcW w:w="3572" w:type="dxa"/>
            <w:gridSpan w:val="3"/>
            <w:tcBorders>
              <w:top w:val="nil"/>
              <w:left w:val="nil"/>
              <w:bottom w:val="nil"/>
              <w:right w:val="single" w:sz="4" w:space="0" w:color="auto"/>
            </w:tcBorders>
            <w:vAlign w:val="bottom"/>
          </w:tcPr>
          <w:p w14:paraId="77AD67BB" w14:textId="77777777" w:rsidR="00533A42" w:rsidRPr="00075B1D" w:rsidRDefault="00533A42" w:rsidP="00111985"/>
        </w:tc>
      </w:tr>
      <w:tr w:rsidR="00533A42" w:rsidRPr="00075B1D" w14:paraId="14B811F0" w14:textId="77777777" w:rsidTr="00111985">
        <w:tc>
          <w:tcPr>
            <w:tcW w:w="9979" w:type="dxa"/>
            <w:gridSpan w:val="12"/>
            <w:tcBorders>
              <w:top w:val="nil"/>
              <w:left w:val="single" w:sz="4" w:space="0" w:color="auto"/>
              <w:bottom w:val="single" w:sz="4" w:space="0" w:color="auto"/>
              <w:right w:val="single" w:sz="4" w:space="0" w:color="auto"/>
            </w:tcBorders>
          </w:tcPr>
          <w:p w14:paraId="65EB736D" w14:textId="77777777" w:rsidR="00533A42" w:rsidRPr="00075B1D" w:rsidRDefault="00533A42" w:rsidP="00111985"/>
        </w:tc>
      </w:tr>
    </w:tbl>
    <w:p w14:paraId="51A61125" w14:textId="77777777" w:rsidR="007C1C7B" w:rsidRPr="00075B1D" w:rsidRDefault="007C1C7B"/>
    <w:sectPr w:rsidR="007C1C7B" w:rsidRPr="00075B1D" w:rsidSect="00B23D1F">
      <w:footerReference w:type="default" r:id="rId9"/>
      <w:pgSz w:w="12240" w:h="15840"/>
      <w:pgMar w:top="907" w:right="851" w:bottom="851" w:left="1418" w:header="720" w:footer="2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40F1" w14:textId="77777777" w:rsidR="00042993" w:rsidRDefault="00042993">
      <w:r>
        <w:separator/>
      </w:r>
    </w:p>
  </w:endnote>
  <w:endnote w:type="continuationSeparator" w:id="0">
    <w:p w14:paraId="3C64284C" w14:textId="77777777" w:rsidR="00042993" w:rsidRDefault="0004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7C81" w14:textId="77777777" w:rsidR="004B5354" w:rsidRDefault="00E9528D">
    <w:pPr>
      <w:pStyle w:val="a5"/>
      <w:jc w:val="right"/>
    </w:pPr>
    <w:r>
      <w:fldChar w:fldCharType="begin"/>
    </w:r>
    <w:r>
      <w:instrText xml:space="preserve"> PAGE   \* MERGEFORMAT </w:instrText>
    </w:r>
    <w:r>
      <w:fldChar w:fldCharType="separate"/>
    </w:r>
    <w:r w:rsidR="009940B3">
      <w:rPr>
        <w:noProof/>
      </w:rPr>
      <w:t>1</w:t>
    </w:r>
    <w:r>
      <w:fldChar w:fldCharType="end"/>
    </w:r>
  </w:p>
  <w:p w14:paraId="43D15407" w14:textId="77777777" w:rsidR="004B5354" w:rsidRDefault="009940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8FDE" w14:textId="77777777" w:rsidR="00042993" w:rsidRDefault="00042993">
      <w:r>
        <w:separator/>
      </w:r>
    </w:p>
  </w:footnote>
  <w:footnote w:type="continuationSeparator" w:id="0">
    <w:p w14:paraId="0D86B4DB" w14:textId="77777777" w:rsidR="00042993" w:rsidRDefault="00042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8B1"/>
    <w:multiLevelType w:val="hybridMultilevel"/>
    <w:tmpl w:val="C23A9F9A"/>
    <w:lvl w:ilvl="0" w:tplc="FFFFFFFF">
      <w:start w:val="1"/>
      <w:numFmt w:val="decimal"/>
      <w:lvlText w:val="2.%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2E12C08"/>
    <w:multiLevelType w:val="hybridMultilevel"/>
    <w:tmpl w:val="BE42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36BA8"/>
    <w:multiLevelType w:val="hybridMultilevel"/>
    <w:tmpl w:val="BD1A3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A061E"/>
    <w:multiLevelType w:val="hybridMultilevel"/>
    <w:tmpl w:val="6FF81BB6"/>
    <w:lvl w:ilvl="0" w:tplc="7EC6183E">
      <w:start w:val="1"/>
      <w:numFmt w:val="decimal"/>
      <w:lvlText w:val="2.%1"/>
      <w:lvlJc w:val="left"/>
      <w:pPr>
        <w:ind w:left="1260" w:hanging="360"/>
      </w:pPr>
      <w:rPr>
        <w:rFonts w:ascii="Times New Roman" w:hAnsi="Times New Roman" w:cs="Times New Roman" w:hint="default"/>
        <w:b w:val="0"/>
        <w:bCs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E265033"/>
    <w:multiLevelType w:val="hybridMultilevel"/>
    <w:tmpl w:val="C23A9F9A"/>
    <w:lvl w:ilvl="0" w:tplc="FFFFFFFF">
      <w:start w:val="1"/>
      <w:numFmt w:val="decimal"/>
      <w:lvlText w:val="2.%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 w15:restartNumberingAfterBreak="0">
    <w:nsid w:val="1F0366A9"/>
    <w:multiLevelType w:val="hybridMultilevel"/>
    <w:tmpl w:val="6FF81BB6"/>
    <w:lvl w:ilvl="0" w:tplc="FFFFFFFF">
      <w:start w:val="1"/>
      <w:numFmt w:val="decimal"/>
      <w:lvlText w:val="2.%1"/>
      <w:lvlJc w:val="left"/>
      <w:pPr>
        <w:ind w:left="1260" w:hanging="360"/>
      </w:pPr>
      <w:rPr>
        <w:rFonts w:ascii="Times New Roman" w:hAnsi="Times New Roman" w:cs="Times New Roman" w:hint="default"/>
        <w:b w:val="0"/>
        <w:bCs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 w15:restartNumberingAfterBreak="0">
    <w:nsid w:val="370154F8"/>
    <w:multiLevelType w:val="hybridMultilevel"/>
    <w:tmpl w:val="D3E69A1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F141373"/>
    <w:multiLevelType w:val="hybridMultilevel"/>
    <w:tmpl w:val="11124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59076F3"/>
    <w:multiLevelType w:val="hybridMultilevel"/>
    <w:tmpl w:val="62DCFE00"/>
    <w:lvl w:ilvl="0" w:tplc="19981E0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7B36409"/>
    <w:multiLevelType w:val="hybridMultilevel"/>
    <w:tmpl w:val="130E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0E7574"/>
    <w:multiLevelType w:val="hybridMultilevel"/>
    <w:tmpl w:val="5D08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0"/>
  </w:num>
  <w:num w:numId="6">
    <w:abstractNumId w:val="1"/>
  </w:num>
  <w:num w:numId="7">
    <w:abstractNumId w:val="6"/>
  </w:num>
  <w:num w:numId="8">
    <w:abstractNumId w:val="7"/>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F6"/>
    <w:rsid w:val="00014C56"/>
    <w:rsid w:val="000205FB"/>
    <w:rsid w:val="00023AE8"/>
    <w:rsid w:val="00035827"/>
    <w:rsid w:val="00042993"/>
    <w:rsid w:val="000533B0"/>
    <w:rsid w:val="000553EA"/>
    <w:rsid w:val="000571DE"/>
    <w:rsid w:val="000737FB"/>
    <w:rsid w:val="0007385C"/>
    <w:rsid w:val="00075B1D"/>
    <w:rsid w:val="000910FB"/>
    <w:rsid w:val="000F3B01"/>
    <w:rsid w:val="000F57BB"/>
    <w:rsid w:val="000F5C1C"/>
    <w:rsid w:val="001075D1"/>
    <w:rsid w:val="00117326"/>
    <w:rsid w:val="0013107F"/>
    <w:rsid w:val="00133176"/>
    <w:rsid w:val="00134607"/>
    <w:rsid w:val="00140326"/>
    <w:rsid w:val="001410E2"/>
    <w:rsid w:val="001821D4"/>
    <w:rsid w:val="001976E0"/>
    <w:rsid w:val="001A11E8"/>
    <w:rsid w:val="001A66C4"/>
    <w:rsid w:val="001D0035"/>
    <w:rsid w:val="001D0E4D"/>
    <w:rsid w:val="001E64FB"/>
    <w:rsid w:val="001F72BC"/>
    <w:rsid w:val="00204D14"/>
    <w:rsid w:val="002366F4"/>
    <w:rsid w:val="00251085"/>
    <w:rsid w:val="00290203"/>
    <w:rsid w:val="002D3A23"/>
    <w:rsid w:val="002E09BE"/>
    <w:rsid w:val="002F2B1B"/>
    <w:rsid w:val="00302C58"/>
    <w:rsid w:val="0031564B"/>
    <w:rsid w:val="00322E7E"/>
    <w:rsid w:val="003349F8"/>
    <w:rsid w:val="003404BE"/>
    <w:rsid w:val="00375745"/>
    <w:rsid w:val="003820BA"/>
    <w:rsid w:val="00395418"/>
    <w:rsid w:val="0039596D"/>
    <w:rsid w:val="003A437F"/>
    <w:rsid w:val="003B56DA"/>
    <w:rsid w:val="003E212D"/>
    <w:rsid w:val="00407C03"/>
    <w:rsid w:val="00415E14"/>
    <w:rsid w:val="004234A9"/>
    <w:rsid w:val="00481FC2"/>
    <w:rsid w:val="00483840"/>
    <w:rsid w:val="004B16ED"/>
    <w:rsid w:val="004B2DF9"/>
    <w:rsid w:val="004B735E"/>
    <w:rsid w:val="004E648B"/>
    <w:rsid w:val="00502ADF"/>
    <w:rsid w:val="00525771"/>
    <w:rsid w:val="00533A42"/>
    <w:rsid w:val="0054124B"/>
    <w:rsid w:val="00560050"/>
    <w:rsid w:val="00570FF4"/>
    <w:rsid w:val="0057765B"/>
    <w:rsid w:val="005B7D84"/>
    <w:rsid w:val="005D15D3"/>
    <w:rsid w:val="005D5688"/>
    <w:rsid w:val="005F1D5A"/>
    <w:rsid w:val="006016CF"/>
    <w:rsid w:val="0061029E"/>
    <w:rsid w:val="00620FA4"/>
    <w:rsid w:val="006548F4"/>
    <w:rsid w:val="006751BB"/>
    <w:rsid w:val="00677C4B"/>
    <w:rsid w:val="00682743"/>
    <w:rsid w:val="006836B5"/>
    <w:rsid w:val="00720B26"/>
    <w:rsid w:val="0073618F"/>
    <w:rsid w:val="007400B9"/>
    <w:rsid w:val="00765AB1"/>
    <w:rsid w:val="00767887"/>
    <w:rsid w:val="00772F56"/>
    <w:rsid w:val="00775F60"/>
    <w:rsid w:val="00792F09"/>
    <w:rsid w:val="00797437"/>
    <w:rsid w:val="007C1C7B"/>
    <w:rsid w:val="007D2E19"/>
    <w:rsid w:val="007D4487"/>
    <w:rsid w:val="007F1EA8"/>
    <w:rsid w:val="00804DF1"/>
    <w:rsid w:val="008349AD"/>
    <w:rsid w:val="00842075"/>
    <w:rsid w:val="00843BF1"/>
    <w:rsid w:val="008766BB"/>
    <w:rsid w:val="008869C7"/>
    <w:rsid w:val="008B2A5E"/>
    <w:rsid w:val="008B6ECF"/>
    <w:rsid w:val="008C0F08"/>
    <w:rsid w:val="008C110E"/>
    <w:rsid w:val="008D4E53"/>
    <w:rsid w:val="008F6934"/>
    <w:rsid w:val="00904ADC"/>
    <w:rsid w:val="00916531"/>
    <w:rsid w:val="00927A75"/>
    <w:rsid w:val="00942F57"/>
    <w:rsid w:val="00950A50"/>
    <w:rsid w:val="0098190F"/>
    <w:rsid w:val="00991EBE"/>
    <w:rsid w:val="009940B3"/>
    <w:rsid w:val="00994878"/>
    <w:rsid w:val="009A0B5E"/>
    <w:rsid w:val="009A4D45"/>
    <w:rsid w:val="009D5C07"/>
    <w:rsid w:val="009F3292"/>
    <w:rsid w:val="00A3543B"/>
    <w:rsid w:val="00A4638E"/>
    <w:rsid w:val="00A56CE4"/>
    <w:rsid w:val="00A64CF7"/>
    <w:rsid w:val="00A74C09"/>
    <w:rsid w:val="00A93A2D"/>
    <w:rsid w:val="00AA10B1"/>
    <w:rsid w:val="00AA2FD3"/>
    <w:rsid w:val="00AA4F4D"/>
    <w:rsid w:val="00AB569B"/>
    <w:rsid w:val="00B10906"/>
    <w:rsid w:val="00B156A0"/>
    <w:rsid w:val="00B23D22"/>
    <w:rsid w:val="00B3080E"/>
    <w:rsid w:val="00B36234"/>
    <w:rsid w:val="00B44989"/>
    <w:rsid w:val="00B51543"/>
    <w:rsid w:val="00B6545B"/>
    <w:rsid w:val="00B96098"/>
    <w:rsid w:val="00B97C7E"/>
    <w:rsid w:val="00BB4C87"/>
    <w:rsid w:val="00BB76E2"/>
    <w:rsid w:val="00BC75EF"/>
    <w:rsid w:val="00BD5EEC"/>
    <w:rsid w:val="00C149AC"/>
    <w:rsid w:val="00C25DDE"/>
    <w:rsid w:val="00C51831"/>
    <w:rsid w:val="00C57044"/>
    <w:rsid w:val="00C61C3A"/>
    <w:rsid w:val="00CA2ADA"/>
    <w:rsid w:val="00CA61BE"/>
    <w:rsid w:val="00CD54E1"/>
    <w:rsid w:val="00CF2485"/>
    <w:rsid w:val="00D01EA0"/>
    <w:rsid w:val="00D35368"/>
    <w:rsid w:val="00D72A1A"/>
    <w:rsid w:val="00D8370C"/>
    <w:rsid w:val="00DA61EF"/>
    <w:rsid w:val="00DA7A13"/>
    <w:rsid w:val="00DC62F3"/>
    <w:rsid w:val="00DC772C"/>
    <w:rsid w:val="00DD5475"/>
    <w:rsid w:val="00DE015F"/>
    <w:rsid w:val="00E11A86"/>
    <w:rsid w:val="00E21F14"/>
    <w:rsid w:val="00E272AF"/>
    <w:rsid w:val="00E34668"/>
    <w:rsid w:val="00E62559"/>
    <w:rsid w:val="00E65300"/>
    <w:rsid w:val="00E664CD"/>
    <w:rsid w:val="00E86EAD"/>
    <w:rsid w:val="00E9528D"/>
    <w:rsid w:val="00E960DA"/>
    <w:rsid w:val="00EB11F6"/>
    <w:rsid w:val="00EB51CE"/>
    <w:rsid w:val="00F74394"/>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E034"/>
  <w15:chartTrackingRefBased/>
  <w15:docId w15:val="{5867CFEC-3739-4084-9055-CC3AD5A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24B"/>
    <w:pPr>
      <w:keepNext/>
      <w:jc w:val="center"/>
      <w:outlineLvl w:val="0"/>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21D4"/>
    <w:rPr>
      <w:rFonts w:cs="Times New Roman"/>
      <w:color w:val="0000FF"/>
      <w:u w:val="single"/>
    </w:rPr>
  </w:style>
  <w:style w:type="paragraph" w:customStyle="1" w:styleId="NormalPrefix">
    <w:name w:val="Normal Prefix"/>
    <w:rsid w:val="001821D4"/>
    <w:pPr>
      <w:widowControl w:val="0"/>
      <w:spacing w:before="200" w:after="40" w:line="240" w:lineRule="auto"/>
    </w:pPr>
    <w:rPr>
      <w:rFonts w:ascii="Times New Roman" w:eastAsia="Times New Roman" w:hAnsi="Times New Roman" w:cs="Times New Roman"/>
      <w:lang w:eastAsia="ru-RU"/>
    </w:rPr>
  </w:style>
  <w:style w:type="table" w:styleId="a4">
    <w:name w:val="Table Grid"/>
    <w:basedOn w:val="a1"/>
    <w:uiPriority w:val="39"/>
    <w:rsid w:val="001821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821D4"/>
    <w:pPr>
      <w:tabs>
        <w:tab w:val="center" w:pos="4677"/>
        <w:tab w:val="right" w:pos="9355"/>
      </w:tabs>
    </w:pPr>
  </w:style>
  <w:style w:type="character" w:customStyle="1" w:styleId="a6">
    <w:name w:val="Нижний колонтитул Знак"/>
    <w:basedOn w:val="a0"/>
    <w:link w:val="a5"/>
    <w:uiPriority w:val="99"/>
    <w:rsid w:val="001821D4"/>
    <w:rPr>
      <w:rFonts w:ascii="Times New Roman" w:eastAsia="Times New Roman" w:hAnsi="Times New Roman" w:cs="Times New Roman"/>
      <w:sz w:val="24"/>
      <w:szCs w:val="24"/>
      <w:lang w:eastAsia="ru-RU"/>
    </w:rPr>
  </w:style>
  <w:style w:type="character" w:styleId="a7">
    <w:name w:val="annotation reference"/>
    <w:uiPriority w:val="99"/>
    <w:rsid w:val="001821D4"/>
    <w:rPr>
      <w:sz w:val="16"/>
      <w:szCs w:val="16"/>
    </w:rPr>
  </w:style>
  <w:style w:type="paragraph" w:styleId="a8">
    <w:name w:val="annotation text"/>
    <w:basedOn w:val="a"/>
    <w:link w:val="a9"/>
    <w:uiPriority w:val="99"/>
    <w:rsid w:val="001821D4"/>
    <w:rPr>
      <w:sz w:val="20"/>
      <w:szCs w:val="20"/>
    </w:rPr>
  </w:style>
  <w:style w:type="character" w:customStyle="1" w:styleId="a9">
    <w:name w:val="Текст примечания Знак"/>
    <w:basedOn w:val="a0"/>
    <w:link w:val="a8"/>
    <w:uiPriority w:val="99"/>
    <w:rsid w:val="001821D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821D4"/>
    <w:rPr>
      <w:rFonts w:ascii="Segoe UI" w:hAnsi="Segoe UI" w:cs="Segoe UI"/>
      <w:sz w:val="18"/>
      <w:szCs w:val="18"/>
    </w:rPr>
  </w:style>
  <w:style w:type="character" w:customStyle="1" w:styleId="ab">
    <w:name w:val="Текст выноски Знак"/>
    <w:basedOn w:val="a0"/>
    <w:link w:val="aa"/>
    <w:uiPriority w:val="99"/>
    <w:semiHidden/>
    <w:rsid w:val="001821D4"/>
    <w:rPr>
      <w:rFonts w:ascii="Segoe UI" w:eastAsia="Times New Roman" w:hAnsi="Segoe UI" w:cs="Segoe UI"/>
      <w:sz w:val="18"/>
      <w:szCs w:val="18"/>
      <w:lang w:eastAsia="ru-RU"/>
    </w:rPr>
  </w:style>
  <w:style w:type="character" w:styleId="ac">
    <w:name w:val="FollowedHyperlink"/>
    <w:basedOn w:val="a0"/>
    <w:uiPriority w:val="99"/>
    <w:semiHidden/>
    <w:unhideWhenUsed/>
    <w:rsid w:val="000F57BB"/>
    <w:rPr>
      <w:color w:val="954F72" w:themeColor="followedHyperlink"/>
      <w:u w:val="single"/>
    </w:rPr>
  </w:style>
  <w:style w:type="character" w:customStyle="1" w:styleId="UnresolvedMention">
    <w:name w:val="Unresolved Mention"/>
    <w:basedOn w:val="a0"/>
    <w:uiPriority w:val="99"/>
    <w:semiHidden/>
    <w:unhideWhenUsed/>
    <w:rsid w:val="000F57BB"/>
    <w:rPr>
      <w:color w:val="605E5C"/>
      <w:shd w:val="clear" w:color="auto" w:fill="E1DFDD"/>
    </w:rPr>
  </w:style>
  <w:style w:type="paragraph" w:styleId="ad">
    <w:name w:val="Body Text"/>
    <w:basedOn w:val="a"/>
    <w:link w:val="ae"/>
    <w:uiPriority w:val="99"/>
    <w:rsid w:val="00302C58"/>
    <w:pPr>
      <w:spacing w:after="120"/>
    </w:pPr>
  </w:style>
  <w:style w:type="character" w:customStyle="1" w:styleId="ae">
    <w:name w:val="Основной текст Знак"/>
    <w:basedOn w:val="a0"/>
    <w:link w:val="ad"/>
    <w:uiPriority w:val="99"/>
    <w:rsid w:val="00302C58"/>
    <w:rPr>
      <w:rFonts w:ascii="Times New Roman" w:eastAsia="Times New Roman" w:hAnsi="Times New Roman" w:cs="Times New Roman"/>
      <w:sz w:val="24"/>
      <w:szCs w:val="24"/>
      <w:lang w:eastAsia="ru-RU"/>
    </w:rPr>
  </w:style>
  <w:style w:type="paragraph" w:styleId="af">
    <w:name w:val="List Paragraph"/>
    <w:aliases w:val="Нумерованый список"/>
    <w:basedOn w:val="a"/>
    <w:link w:val="af0"/>
    <w:uiPriority w:val="34"/>
    <w:qFormat/>
    <w:rsid w:val="00302C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0">
    <w:name w:val="Абзац списка Знак"/>
    <w:aliases w:val="Нумерованый список Знак"/>
    <w:link w:val="af"/>
    <w:uiPriority w:val="34"/>
    <w:rsid w:val="00302C58"/>
  </w:style>
  <w:style w:type="paragraph" w:styleId="2">
    <w:name w:val="Body Text Indent 2"/>
    <w:basedOn w:val="a"/>
    <w:link w:val="20"/>
    <w:uiPriority w:val="99"/>
    <w:semiHidden/>
    <w:unhideWhenUsed/>
    <w:rsid w:val="00302C58"/>
    <w:pPr>
      <w:spacing w:after="120" w:line="480" w:lineRule="auto"/>
      <w:ind w:left="283"/>
    </w:pPr>
  </w:style>
  <w:style w:type="character" w:customStyle="1" w:styleId="20">
    <w:name w:val="Основной текст с отступом 2 Знак"/>
    <w:basedOn w:val="a0"/>
    <w:link w:val="2"/>
    <w:uiPriority w:val="99"/>
    <w:semiHidden/>
    <w:rsid w:val="00302C58"/>
    <w:rPr>
      <w:rFonts w:ascii="Times New Roman" w:eastAsia="Times New Roman" w:hAnsi="Times New Roman" w:cs="Times New Roman"/>
      <w:sz w:val="24"/>
      <w:szCs w:val="24"/>
      <w:lang w:eastAsia="ru-RU"/>
    </w:rPr>
  </w:style>
  <w:style w:type="paragraph" w:styleId="af1">
    <w:name w:val="annotation subject"/>
    <w:basedOn w:val="a8"/>
    <w:next w:val="a8"/>
    <w:link w:val="af2"/>
    <w:uiPriority w:val="99"/>
    <w:semiHidden/>
    <w:unhideWhenUsed/>
    <w:rsid w:val="00767887"/>
    <w:rPr>
      <w:b/>
      <w:bCs/>
    </w:rPr>
  </w:style>
  <w:style w:type="character" w:customStyle="1" w:styleId="af2">
    <w:name w:val="Тема примечания Знак"/>
    <w:basedOn w:val="a9"/>
    <w:link w:val="af1"/>
    <w:uiPriority w:val="99"/>
    <w:semiHidden/>
    <w:rsid w:val="00767887"/>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54124B"/>
    <w:rPr>
      <w:rFonts w:ascii="Times New Roman" w:eastAsia="Times New Roman" w:hAnsi="Times New Roman" w:cs="Times New Roman"/>
      <w:b/>
      <w:bCs/>
      <w:i/>
      <w:iCs/>
      <w:sz w:val="32"/>
      <w:szCs w:val="32"/>
      <w:lang w:eastAsia="ru-RU"/>
    </w:rPr>
  </w:style>
  <w:style w:type="paragraph" w:customStyle="1" w:styleId="prilozhenie">
    <w:name w:val="prilozhenie"/>
    <w:basedOn w:val="a"/>
    <w:rsid w:val="0054124B"/>
    <w:pPr>
      <w:ind w:firstLine="709"/>
      <w:jc w:val="both"/>
    </w:pPr>
    <w:rPr>
      <w:lang w:eastAsia="en-US"/>
    </w:rPr>
  </w:style>
  <w:style w:type="paragraph" w:customStyle="1" w:styleId="ConsNormal">
    <w:name w:val="ConsNormal"/>
    <w:uiPriority w:val="99"/>
    <w:rsid w:val="0054124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8902">
      <w:bodyDiv w:val="1"/>
      <w:marLeft w:val="0"/>
      <w:marRight w:val="0"/>
      <w:marTop w:val="0"/>
      <w:marBottom w:val="0"/>
      <w:divBdr>
        <w:top w:val="none" w:sz="0" w:space="0" w:color="auto"/>
        <w:left w:val="none" w:sz="0" w:space="0" w:color="auto"/>
        <w:bottom w:val="none" w:sz="0" w:space="0" w:color="auto"/>
        <w:right w:val="none" w:sz="0" w:space="0" w:color="auto"/>
      </w:divBdr>
    </w:div>
    <w:div w:id="433791636">
      <w:bodyDiv w:val="1"/>
      <w:marLeft w:val="0"/>
      <w:marRight w:val="0"/>
      <w:marTop w:val="0"/>
      <w:marBottom w:val="0"/>
      <w:divBdr>
        <w:top w:val="none" w:sz="0" w:space="0" w:color="auto"/>
        <w:left w:val="none" w:sz="0" w:space="0" w:color="auto"/>
        <w:bottom w:val="none" w:sz="0" w:space="0" w:color="auto"/>
        <w:right w:val="none" w:sz="0" w:space="0" w:color="auto"/>
      </w:divBdr>
    </w:div>
    <w:div w:id="922567374">
      <w:bodyDiv w:val="1"/>
      <w:marLeft w:val="0"/>
      <w:marRight w:val="0"/>
      <w:marTop w:val="0"/>
      <w:marBottom w:val="0"/>
      <w:divBdr>
        <w:top w:val="none" w:sz="0" w:space="0" w:color="auto"/>
        <w:left w:val="none" w:sz="0" w:space="0" w:color="auto"/>
        <w:bottom w:val="none" w:sz="0" w:space="0" w:color="auto"/>
        <w:right w:val="none" w:sz="0" w:space="0" w:color="auto"/>
      </w:divBdr>
    </w:div>
    <w:div w:id="1396247288">
      <w:bodyDiv w:val="1"/>
      <w:marLeft w:val="0"/>
      <w:marRight w:val="0"/>
      <w:marTop w:val="0"/>
      <w:marBottom w:val="0"/>
      <w:divBdr>
        <w:top w:val="none" w:sz="0" w:space="0" w:color="auto"/>
        <w:left w:val="none" w:sz="0" w:space="0" w:color="auto"/>
        <w:bottom w:val="none" w:sz="0" w:space="0" w:color="auto"/>
        <w:right w:val="none" w:sz="0" w:space="0" w:color="auto"/>
      </w:divBdr>
    </w:div>
    <w:div w:id="15688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sclosure.ru/Emitent/Publication/" TargetMode="External"/><Relationship Id="rId3" Type="http://schemas.openxmlformats.org/officeDocument/2006/relationships/settings" Target="settings.xml"/><Relationship Id="rId7" Type="http://schemas.openxmlformats.org/officeDocument/2006/relationships/hyperlink" Target="https://www.e-disclosure.ru/portal/company.aspx?id=4378&amp;attemp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LECAP-Evgeniya Shaimukhametova</dc:creator>
  <cp:keywords/>
  <dc:description/>
  <cp:lastModifiedBy>admin</cp:lastModifiedBy>
  <cp:revision>4</cp:revision>
  <dcterms:created xsi:type="dcterms:W3CDTF">2022-11-17T14:25:00Z</dcterms:created>
  <dcterms:modified xsi:type="dcterms:W3CDTF">2022-11-17T15:06:00Z</dcterms:modified>
</cp:coreProperties>
</file>