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Открытое акционерное общество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ОАО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Pr="00F94F89" w:rsidRDefault="00F94F89" w:rsidP="002410BE">
            <w:pPr>
              <w:adjustRightInd w:val="0"/>
              <w:ind w:left="142" w:right="141"/>
              <w:jc w:val="both"/>
              <w:rPr>
                <w:bCs/>
                <w:sz w:val="22"/>
                <w:szCs w:val="20"/>
              </w:rPr>
            </w:pPr>
            <w:r w:rsidRPr="00F94F89">
              <w:rPr>
                <w:bCs/>
                <w:sz w:val="22"/>
                <w:szCs w:val="20"/>
              </w:rPr>
              <w:t>25</w:t>
            </w:r>
            <w:r w:rsidR="00E82D46" w:rsidRPr="00F94F89">
              <w:rPr>
                <w:bCs/>
                <w:sz w:val="22"/>
                <w:szCs w:val="20"/>
              </w:rPr>
              <w:t xml:space="preserve"> декабря </w:t>
            </w:r>
            <w:r w:rsidR="00124F84" w:rsidRPr="00F94F89">
              <w:rPr>
                <w:bCs/>
                <w:sz w:val="22"/>
                <w:szCs w:val="20"/>
              </w:rPr>
              <w:t>201</w:t>
            </w:r>
            <w:r w:rsidR="00E82D46" w:rsidRPr="00F94F89">
              <w:rPr>
                <w:bCs/>
                <w:sz w:val="22"/>
                <w:szCs w:val="20"/>
              </w:rPr>
              <w:t>5</w:t>
            </w:r>
            <w:r w:rsidR="000018C1" w:rsidRPr="00F94F89">
              <w:rPr>
                <w:bCs/>
                <w:sz w:val="22"/>
                <w:szCs w:val="20"/>
              </w:rPr>
              <w:t xml:space="preserve"> г. состоялось заседание Совета директоров </w:t>
            </w:r>
            <w:r w:rsidR="00FE7AB0" w:rsidRPr="00F94F89">
              <w:rPr>
                <w:bCs/>
                <w:sz w:val="22"/>
                <w:szCs w:val="20"/>
              </w:rPr>
              <w:t>ОАО «Фармсинтез»</w:t>
            </w:r>
            <w:r w:rsidR="00A85A94" w:rsidRPr="00F94F89">
              <w:rPr>
                <w:bCs/>
                <w:sz w:val="22"/>
                <w:szCs w:val="20"/>
              </w:rPr>
              <w:t xml:space="preserve">. </w:t>
            </w:r>
            <w:r w:rsidR="00FE2DE9" w:rsidRPr="00F94F89">
              <w:rPr>
                <w:bCs/>
                <w:sz w:val="22"/>
                <w:szCs w:val="20"/>
              </w:rPr>
              <w:t>По итогам заседания Совет директоров принял  решения по следующим вопросам повестки дня:</w:t>
            </w:r>
          </w:p>
          <w:p w:rsidR="00F60235" w:rsidRPr="00F94F89" w:rsidRDefault="00F60235" w:rsidP="002410BE">
            <w:pPr>
              <w:tabs>
                <w:tab w:val="num" w:pos="0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</w:p>
          <w:p w:rsidR="00F94F89" w:rsidRPr="00F94F89" w:rsidRDefault="00F60235" w:rsidP="00F94F89">
            <w:pPr>
              <w:pStyle w:val="3"/>
              <w:ind w:left="142"/>
              <w:jc w:val="both"/>
              <w:rPr>
                <w:iCs/>
                <w:sz w:val="22"/>
                <w:szCs w:val="20"/>
              </w:rPr>
            </w:pP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По </w:t>
            </w:r>
            <w:r w:rsidR="00E82D46" w:rsidRPr="00F94F89">
              <w:rPr>
                <w:b/>
                <w:i/>
                <w:color w:val="000000"/>
                <w:sz w:val="22"/>
                <w:szCs w:val="20"/>
              </w:rPr>
              <w:t>первому</w:t>
            </w: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 вопросу:</w:t>
            </w:r>
            <w:r w:rsidR="002410BE" w:rsidRPr="00F94F89">
              <w:rPr>
                <w:iCs/>
                <w:sz w:val="22"/>
                <w:szCs w:val="20"/>
              </w:rPr>
              <w:t xml:space="preserve"> </w:t>
            </w:r>
            <w:r w:rsidR="00F94F89" w:rsidRPr="00F94F89">
              <w:rPr>
                <w:iCs/>
                <w:sz w:val="22"/>
                <w:szCs w:val="20"/>
              </w:rPr>
              <w:t>Об определении места, времени проведения внеочередного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F94F89" w:rsidRPr="00F94F89" w:rsidRDefault="00E82D46" w:rsidP="00F94F89">
            <w:pPr>
              <w:pStyle w:val="3"/>
              <w:ind w:left="142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F94F89">
              <w:rPr>
                <w:iCs/>
                <w:sz w:val="22"/>
                <w:szCs w:val="20"/>
              </w:rPr>
              <w:t xml:space="preserve"> </w:t>
            </w:r>
            <w:r w:rsidR="00F94F89" w:rsidRPr="00F94F89">
              <w:rPr>
                <w:b/>
                <w:i/>
                <w:color w:val="000000"/>
                <w:sz w:val="22"/>
                <w:szCs w:val="20"/>
              </w:rPr>
              <w:t>1.</w:t>
            </w:r>
            <w:r w:rsidR="00F94F89" w:rsidRPr="00F94F89">
              <w:rPr>
                <w:b/>
                <w:i/>
                <w:color w:val="000000"/>
                <w:sz w:val="22"/>
                <w:szCs w:val="20"/>
              </w:rPr>
              <w:tab/>
              <w:t>Определить, что датой окончания приёма бюллетеней для голосования является 21 января 2016 г.</w:t>
            </w:r>
          </w:p>
          <w:p w:rsidR="00F94F89" w:rsidRPr="00F94F89" w:rsidRDefault="00F94F89" w:rsidP="00F94F89">
            <w:pPr>
              <w:pStyle w:val="3"/>
              <w:ind w:left="142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F94F89">
              <w:rPr>
                <w:b/>
                <w:i/>
                <w:color w:val="000000"/>
                <w:sz w:val="22"/>
                <w:szCs w:val="20"/>
              </w:rPr>
              <w:t>2.</w:t>
            </w:r>
            <w:r w:rsidRPr="00F94F89">
              <w:rPr>
                <w:b/>
                <w:i/>
                <w:color w:val="000000"/>
                <w:sz w:val="22"/>
                <w:szCs w:val="20"/>
              </w:rPr>
              <w:tab/>
              <w:t xml:space="preserve">Определить, что заполненные бюллетени для голосования должны быть направлены по одному из следующих адресов: </w:t>
            </w:r>
          </w:p>
          <w:p w:rsidR="00F94F89" w:rsidRPr="00F94F89" w:rsidRDefault="00F94F89" w:rsidP="00F94F89">
            <w:pPr>
              <w:pStyle w:val="3"/>
              <w:ind w:left="142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- Российская Федерация, </w:t>
            </w:r>
            <w:proofErr w:type="gramStart"/>
            <w:r w:rsidRPr="00F94F89">
              <w:rPr>
                <w:b/>
                <w:i/>
                <w:color w:val="000000"/>
                <w:sz w:val="22"/>
                <w:szCs w:val="20"/>
              </w:rPr>
              <w:t>197110,  г.</w:t>
            </w:r>
            <w:proofErr w:type="gramEnd"/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 Санкт-Петербург, улица Красного Курсанта, 25 литера  Ж, БЦ IT  Парк, </w:t>
            </w:r>
          </w:p>
          <w:p w:rsidR="00F60235" w:rsidRPr="00F94F89" w:rsidRDefault="00F94F89" w:rsidP="00F94F89">
            <w:pPr>
              <w:pStyle w:val="3"/>
              <w:spacing w:after="0"/>
              <w:ind w:left="142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- Российская Федерация,  188663, Ленинградская область, Всеволожский район, городской посёлок </w:t>
            </w:r>
            <w:proofErr w:type="spellStart"/>
            <w:r w:rsidRPr="00F94F89">
              <w:rPr>
                <w:b/>
                <w:i/>
                <w:color w:val="000000"/>
                <w:sz w:val="22"/>
                <w:szCs w:val="20"/>
              </w:rPr>
              <w:t>Кузьмоловский</w:t>
            </w:r>
            <w:proofErr w:type="spellEnd"/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, станция </w:t>
            </w:r>
            <w:proofErr w:type="spellStart"/>
            <w:r w:rsidRPr="00F94F89">
              <w:rPr>
                <w:b/>
                <w:i/>
                <w:color w:val="000000"/>
                <w:sz w:val="22"/>
                <w:szCs w:val="20"/>
              </w:rPr>
              <w:t>Капитолово</w:t>
            </w:r>
            <w:proofErr w:type="spellEnd"/>
            <w:r w:rsidRPr="00F94F89">
              <w:rPr>
                <w:b/>
                <w:i/>
                <w:color w:val="000000"/>
                <w:sz w:val="22"/>
                <w:szCs w:val="20"/>
              </w:rPr>
              <w:t>, № 134, литер 1.</w:t>
            </w:r>
          </w:p>
          <w:p w:rsidR="002465D6" w:rsidRPr="00F94F89" w:rsidRDefault="002465D6" w:rsidP="002465D6">
            <w:pPr>
              <w:pStyle w:val="3"/>
              <w:spacing w:after="0"/>
              <w:ind w:left="142"/>
              <w:jc w:val="both"/>
              <w:rPr>
                <w:b/>
                <w:i/>
                <w:color w:val="000000"/>
                <w:sz w:val="22"/>
                <w:szCs w:val="20"/>
              </w:rPr>
            </w:pPr>
          </w:p>
          <w:p w:rsidR="002410BE" w:rsidRDefault="00F60235" w:rsidP="002410BE">
            <w:pPr>
              <w:pStyle w:val="3"/>
              <w:spacing w:after="0"/>
              <w:ind w:left="142"/>
              <w:jc w:val="both"/>
              <w:rPr>
                <w:iCs/>
                <w:sz w:val="22"/>
                <w:szCs w:val="20"/>
              </w:rPr>
            </w:pP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По </w:t>
            </w:r>
            <w:r w:rsidR="00E82D46" w:rsidRPr="00F94F89">
              <w:rPr>
                <w:b/>
                <w:i/>
                <w:color w:val="000000"/>
                <w:sz w:val="22"/>
                <w:szCs w:val="20"/>
              </w:rPr>
              <w:t xml:space="preserve">второму </w:t>
            </w:r>
            <w:r w:rsidRPr="00F94F89">
              <w:rPr>
                <w:b/>
                <w:i/>
                <w:color w:val="000000"/>
                <w:sz w:val="22"/>
                <w:szCs w:val="20"/>
              </w:rPr>
              <w:t>вопросу:</w:t>
            </w:r>
            <w:r w:rsidR="002410BE" w:rsidRPr="00F94F89">
              <w:rPr>
                <w:iCs/>
                <w:sz w:val="22"/>
                <w:szCs w:val="20"/>
              </w:rPr>
              <w:t xml:space="preserve"> </w:t>
            </w:r>
            <w:r w:rsidR="005267D3" w:rsidRPr="005267D3">
              <w:rPr>
                <w:iCs/>
                <w:sz w:val="22"/>
                <w:szCs w:val="20"/>
              </w:rPr>
              <w:t>Об утверждении повестки дня внеочередного общего собрания акционеров</w:t>
            </w:r>
          </w:p>
          <w:p w:rsidR="005267D3" w:rsidRPr="005267D3" w:rsidRDefault="005267D3" w:rsidP="005267D3">
            <w:pPr>
              <w:pStyle w:val="3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Утвердить следующую повестку дня  собрания акционеров Общества:</w:t>
            </w:r>
          </w:p>
          <w:p w:rsidR="005267D3" w:rsidRPr="005267D3" w:rsidRDefault="005267D3" w:rsidP="005267D3">
            <w:pPr>
              <w:pStyle w:val="3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Вопрос № 1. Об увеличении уставного капитала Общества путём размещения дополнительных акций посредством закрытой подписки.</w:t>
            </w:r>
          </w:p>
          <w:p w:rsidR="005267D3" w:rsidRPr="005267D3" w:rsidRDefault="005267D3" w:rsidP="005267D3">
            <w:pPr>
              <w:pStyle w:val="3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Вопрос № 2. Об утверждении Устава Общества в новой редакции.</w:t>
            </w:r>
          </w:p>
          <w:p w:rsidR="005267D3" w:rsidRPr="005267D3" w:rsidRDefault="005267D3" w:rsidP="005267D3">
            <w:pPr>
              <w:pStyle w:val="3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Вопрос № 3. Об одобрении сделки, в совершении которой имеется заинтересованность.</w:t>
            </w:r>
          </w:p>
          <w:p w:rsidR="005267D3" w:rsidRPr="005267D3" w:rsidRDefault="005267D3" w:rsidP="005267D3">
            <w:pPr>
              <w:pStyle w:val="3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Вопрос № 4. Об одобрении сделки, в совершении которой имеется заинтересованность.</w:t>
            </w:r>
          </w:p>
          <w:p w:rsidR="005267D3" w:rsidRPr="005267D3" w:rsidRDefault="005267D3" w:rsidP="005267D3">
            <w:pPr>
              <w:pStyle w:val="3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Вопрос № 5. Об одобрении сделки, в совершении которой имеется заинтересованность.</w:t>
            </w:r>
          </w:p>
          <w:p w:rsidR="005267D3" w:rsidRPr="005267D3" w:rsidRDefault="005267D3" w:rsidP="005267D3">
            <w:pPr>
              <w:pStyle w:val="3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Вопрос № 6. Об одобрении сделки, в совершении которой имеется заинтересованность.</w:t>
            </w:r>
          </w:p>
          <w:p w:rsidR="005267D3" w:rsidRPr="005267D3" w:rsidRDefault="005267D3" w:rsidP="005267D3">
            <w:pPr>
              <w:pStyle w:val="3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Вопрос № 7. Об одобрении сделки, в совершении которой имеется заинтересованность.</w:t>
            </w:r>
          </w:p>
          <w:p w:rsidR="005267D3" w:rsidRPr="005267D3" w:rsidRDefault="005267D3" w:rsidP="005267D3">
            <w:pPr>
              <w:pStyle w:val="3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Вопрос № 8. Об одобрении сделки, в совершении которой имеется заинтересованность.</w:t>
            </w:r>
          </w:p>
          <w:p w:rsidR="005267D3" w:rsidRPr="005267D3" w:rsidRDefault="005267D3" w:rsidP="005267D3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  <w:r w:rsidRPr="005267D3">
              <w:rPr>
                <w:b/>
                <w:i/>
                <w:iCs/>
                <w:sz w:val="22"/>
                <w:szCs w:val="20"/>
              </w:rPr>
              <w:t>Вопрос № 9. Об одобрении сделки, в совершении которой имеется заинтересованность.</w:t>
            </w:r>
          </w:p>
          <w:p w:rsidR="002410BE" w:rsidRPr="005267D3" w:rsidRDefault="002410BE" w:rsidP="002410BE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2"/>
                <w:szCs w:val="20"/>
              </w:rPr>
            </w:pPr>
          </w:p>
          <w:p w:rsidR="002C4743" w:rsidRPr="00F94F89" w:rsidRDefault="002C4743" w:rsidP="002C4743">
            <w:pPr>
              <w:pStyle w:val="3"/>
              <w:spacing w:after="0"/>
              <w:ind w:left="142"/>
              <w:jc w:val="both"/>
              <w:rPr>
                <w:iCs/>
                <w:sz w:val="22"/>
                <w:szCs w:val="20"/>
              </w:rPr>
            </w:pP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По </w:t>
            </w:r>
            <w:r w:rsidR="002465D6" w:rsidRPr="00F94F89">
              <w:rPr>
                <w:b/>
                <w:i/>
                <w:color w:val="000000"/>
                <w:sz w:val="22"/>
                <w:szCs w:val="20"/>
              </w:rPr>
              <w:t>третьему</w:t>
            </w: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 вопросу:</w:t>
            </w:r>
            <w:r w:rsidRPr="00F94F89">
              <w:rPr>
                <w:iCs/>
                <w:sz w:val="22"/>
                <w:szCs w:val="20"/>
              </w:rPr>
              <w:t xml:space="preserve"> </w:t>
            </w:r>
            <w:r w:rsidR="005267D3" w:rsidRPr="005267D3">
              <w:rPr>
                <w:iCs/>
                <w:sz w:val="22"/>
                <w:szCs w:val="20"/>
              </w:rPr>
              <w:t>Об определении перечня информации (материалов), предоставляемой акционерам Общества при подготовке к проведению внеочередного общего собрания акционеров, и порядка ознакомления акционеров с указанной информацией.</w:t>
            </w:r>
          </w:p>
          <w:p w:rsidR="005267D3" w:rsidRPr="005267D3" w:rsidRDefault="005267D3" w:rsidP="005267D3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5267D3">
              <w:rPr>
                <w:b/>
                <w:i/>
                <w:color w:val="000000"/>
                <w:sz w:val="22"/>
                <w:szCs w:val="20"/>
              </w:rPr>
              <w:lastRenderedPageBreak/>
              <w:t>1. 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5267D3" w:rsidRPr="005267D3" w:rsidRDefault="005267D3" w:rsidP="005267D3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5267D3">
              <w:rPr>
                <w:b/>
                <w:i/>
                <w:color w:val="000000"/>
                <w:sz w:val="22"/>
                <w:szCs w:val="20"/>
              </w:rPr>
              <w:t>•</w:t>
            </w:r>
            <w:r w:rsidRPr="005267D3">
              <w:rPr>
                <w:b/>
                <w:i/>
                <w:color w:val="000000"/>
                <w:sz w:val="22"/>
                <w:szCs w:val="20"/>
              </w:rPr>
              <w:tab/>
              <w:t>проект решений внеочередного общего собрания акционеров Общества</w:t>
            </w:r>
          </w:p>
          <w:p w:rsidR="005267D3" w:rsidRPr="005267D3" w:rsidRDefault="005267D3" w:rsidP="005267D3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5267D3">
              <w:rPr>
                <w:b/>
                <w:i/>
                <w:color w:val="000000"/>
                <w:sz w:val="22"/>
                <w:szCs w:val="20"/>
              </w:rPr>
              <w:t>•</w:t>
            </w:r>
            <w:r w:rsidRPr="005267D3">
              <w:rPr>
                <w:b/>
                <w:i/>
                <w:color w:val="000000"/>
                <w:sz w:val="22"/>
                <w:szCs w:val="20"/>
              </w:rPr>
              <w:tab/>
              <w:t>отчет независимого оценщика Филькова Андрея Николаевича  № 20151222-3 от 22 декабря 2015 г.  о рыночной стоимости акций Общества</w:t>
            </w:r>
          </w:p>
          <w:p w:rsidR="005267D3" w:rsidRPr="005267D3" w:rsidRDefault="005267D3" w:rsidP="005267D3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5267D3">
              <w:rPr>
                <w:b/>
                <w:i/>
                <w:color w:val="000000"/>
                <w:sz w:val="22"/>
                <w:szCs w:val="20"/>
              </w:rPr>
              <w:t>•</w:t>
            </w:r>
            <w:r w:rsidRPr="005267D3">
              <w:rPr>
                <w:b/>
                <w:i/>
                <w:color w:val="000000"/>
                <w:sz w:val="22"/>
                <w:szCs w:val="20"/>
              </w:rPr>
              <w:tab/>
              <w:t xml:space="preserve">проект Устава Общества в новой редакции  </w:t>
            </w:r>
          </w:p>
          <w:p w:rsidR="002C4743" w:rsidRDefault="005267D3" w:rsidP="005267D3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5267D3">
              <w:rPr>
                <w:b/>
                <w:i/>
                <w:color w:val="000000"/>
                <w:sz w:val="22"/>
                <w:szCs w:val="20"/>
              </w:rPr>
              <w:t xml:space="preserve">2. Установить, что с указанной информацией (материалами), лица, имеющие право на участие в годовом Общем собрании акционеров Общества, могут ознакомиться с 01.01.2016 г.  до </w:t>
            </w:r>
            <w:proofErr w:type="gramStart"/>
            <w:r w:rsidRPr="005267D3">
              <w:rPr>
                <w:b/>
                <w:i/>
                <w:color w:val="000000"/>
                <w:sz w:val="22"/>
                <w:szCs w:val="20"/>
              </w:rPr>
              <w:t>проведения  общего</w:t>
            </w:r>
            <w:proofErr w:type="gramEnd"/>
            <w:r w:rsidRPr="005267D3">
              <w:rPr>
                <w:b/>
                <w:i/>
                <w:color w:val="000000"/>
                <w:sz w:val="22"/>
                <w:szCs w:val="20"/>
              </w:rPr>
              <w:t xml:space="preserve"> собрания акционеров в рабочие дни  Общества с 09 часов 30 минут до 18 часов 00 минут по московскому времени по следующему адресу: Российская Федерация, 197110,  г. Санкт-Петербург, улица Красного Курсанта, 25 литера  Ж, БЦ IT  Парк</w:t>
            </w:r>
          </w:p>
          <w:p w:rsidR="005267D3" w:rsidRPr="00F94F89" w:rsidRDefault="005267D3" w:rsidP="002410BE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</w:p>
          <w:p w:rsidR="00BA69F9" w:rsidRDefault="00BA69F9" w:rsidP="002410BE">
            <w:pPr>
              <w:pStyle w:val="3"/>
              <w:tabs>
                <w:tab w:val="left" w:pos="284"/>
              </w:tabs>
              <w:spacing w:after="0"/>
              <w:ind w:left="142"/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F94F89">
              <w:rPr>
                <w:rFonts w:eastAsia="Times New Roman"/>
                <w:b/>
                <w:i/>
                <w:color w:val="000000"/>
                <w:sz w:val="22"/>
                <w:szCs w:val="20"/>
              </w:rPr>
              <w:t xml:space="preserve">По </w:t>
            </w:r>
            <w:r w:rsidR="00CE6EBF" w:rsidRPr="00F94F89">
              <w:rPr>
                <w:rFonts w:eastAsia="Times New Roman"/>
                <w:b/>
                <w:i/>
                <w:color w:val="000000"/>
                <w:sz w:val="22"/>
                <w:szCs w:val="20"/>
              </w:rPr>
              <w:t>четвертому</w:t>
            </w:r>
            <w:r w:rsidRPr="00F94F89">
              <w:rPr>
                <w:rFonts w:eastAsia="Times New Roman"/>
                <w:b/>
                <w:i/>
                <w:color w:val="000000"/>
                <w:sz w:val="22"/>
                <w:szCs w:val="20"/>
              </w:rPr>
              <w:t xml:space="preserve"> вопросу</w:t>
            </w:r>
            <w:r w:rsidR="002410BE" w:rsidRPr="00F94F89">
              <w:rPr>
                <w:rFonts w:eastAsia="Times New Roman"/>
                <w:b/>
                <w:i/>
                <w:color w:val="000000"/>
                <w:sz w:val="22"/>
                <w:szCs w:val="20"/>
              </w:rPr>
              <w:t xml:space="preserve">: </w:t>
            </w:r>
            <w:r w:rsidR="005267D3" w:rsidRPr="005267D3">
              <w:rPr>
                <w:color w:val="000000"/>
                <w:sz w:val="22"/>
                <w:szCs w:val="20"/>
                <w:shd w:val="clear" w:color="auto" w:fill="FFFFFF"/>
              </w:rPr>
              <w:t>Об определении порядка сообщения акционерам Общества о проведении внеочередного общего собрания акционеров, в том числе об утверждении формы и текста сообщения.</w:t>
            </w:r>
          </w:p>
          <w:p w:rsidR="005267D3" w:rsidRPr="005267D3" w:rsidRDefault="005267D3" w:rsidP="005267D3">
            <w:pPr>
              <w:pStyle w:val="3"/>
              <w:tabs>
                <w:tab w:val="left" w:pos="284"/>
              </w:tabs>
              <w:ind w:left="142"/>
              <w:jc w:val="both"/>
              <w:rPr>
                <w:rStyle w:val="apple-converted-space"/>
                <w:rFonts w:eastAsia="Times New Roman"/>
                <w:b/>
                <w:i/>
                <w:color w:val="000000"/>
                <w:sz w:val="22"/>
                <w:szCs w:val="20"/>
              </w:rPr>
            </w:pPr>
            <w:r w:rsidRPr="005267D3">
              <w:rPr>
                <w:rStyle w:val="apple-converted-space"/>
                <w:rFonts w:eastAsia="Times New Roman"/>
                <w:b/>
                <w:i/>
                <w:color w:val="000000"/>
                <w:sz w:val="22"/>
                <w:szCs w:val="20"/>
              </w:rPr>
              <w:t>1.</w:t>
            </w:r>
            <w:r w:rsidRPr="005267D3">
              <w:rPr>
                <w:rStyle w:val="apple-converted-space"/>
                <w:rFonts w:eastAsia="Times New Roman"/>
                <w:b/>
                <w:i/>
                <w:color w:val="000000"/>
                <w:sz w:val="22"/>
                <w:szCs w:val="20"/>
              </w:rPr>
              <w:tab/>
              <w:t>Определить следующий порядок сообщения акционерам о проведении внеочередного  общего собрания акционеров Общества:</w:t>
            </w:r>
          </w:p>
          <w:p w:rsidR="005267D3" w:rsidRPr="005267D3" w:rsidRDefault="005267D3" w:rsidP="005267D3">
            <w:pPr>
              <w:pStyle w:val="3"/>
              <w:tabs>
                <w:tab w:val="left" w:pos="284"/>
              </w:tabs>
              <w:jc w:val="both"/>
              <w:rPr>
                <w:rStyle w:val="apple-converted-space"/>
                <w:rFonts w:eastAsia="Times New Roman"/>
                <w:b/>
                <w:i/>
                <w:color w:val="000000"/>
                <w:sz w:val="22"/>
                <w:szCs w:val="20"/>
              </w:rPr>
            </w:pPr>
            <w:r>
              <w:rPr>
                <w:rStyle w:val="apple-converted-space"/>
                <w:rFonts w:eastAsia="Times New Roman"/>
                <w:b/>
                <w:i/>
                <w:color w:val="000000"/>
                <w:sz w:val="22"/>
                <w:szCs w:val="20"/>
              </w:rPr>
              <w:t xml:space="preserve">   1. </w:t>
            </w:r>
            <w:r w:rsidRPr="005267D3">
              <w:rPr>
                <w:rStyle w:val="apple-converted-space"/>
                <w:rFonts w:eastAsia="Times New Roman"/>
                <w:b/>
                <w:i/>
                <w:color w:val="000000"/>
                <w:sz w:val="22"/>
                <w:szCs w:val="20"/>
              </w:rPr>
              <w:t>Сообщение должно быть размещено на сайте Общества в информационно-телекоммуникационной сети Интернет на сайте общества: www.pharmsynthez.com не позднее  01.01.2016 г.</w:t>
            </w:r>
          </w:p>
          <w:p w:rsidR="005267D3" w:rsidRPr="00F94F89" w:rsidRDefault="005267D3" w:rsidP="005267D3">
            <w:pPr>
              <w:pStyle w:val="3"/>
              <w:tabs>
                <w:tab w:val="left" w:pos="284"/>
              </w:tabs>
              <w:spacing w:after="0"/>
              <w:ind w:left="142"/>
              <w:jc w:val="both"/>
              <w:rPr>
                <w:rStyle w:val="apple-converted-space"/>
                <w:rFonts w:eastAsia="Times New Roman"/>
                <w:b/>
                <w:i/>
                <w:color w:val="000000"/>
                <w:sz w:val="22"/>
                <w:szCs w:val="20"/>
              </w:rPr>
            </w:pPr>
            <w:r w:rsidRPr="005267D3">
              <w:rPr>
                <w:rStyle w:val="apple-converted-space"/>
                <w:rFonts w:eastAsia="Times New Roman"/>
                <w:b/>
                <w:i/>
                <w:color w:val="000000"/>
                <w:sz w:val="22"/>
                <w:szCs w:val="20"/>
              </w:rPr>
              <w:t>2. Утвердить форму и текст сообщения о проведении внеочередного общего собрания акционеров Общества согласно Приложению № 1</w:t>
            </w:r>
          </w:p>
          <w:p w:rsidR="002410BE" w:rsidRPr="00F94F89" w:rsidRDefault="002410BE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color w:val="000000"/>
                <w:sz w:val="20"/>
                <w:szCs w:val="18"/>
                <w:shd w:val="clear" w:color="auto" w:fill="FFFFFF"/>
              </w:rPr>
            </w:pPr>
          </w:p>
          <w:p w:rsidR="00441C11" w:rsidRDefault="00276D6B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По </w:t>
            </w:r>
            <w: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пятому </w:t>
            </w: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вопросу:</w:t>
            </w:r>
            <w: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Pr="00276D6B">
              <w:rPr>
                <w:rStyle w:val="apple-converted-space"/>
                <w:rFonts w:eastAsia="SimSun"/>
                <w:color w:val="000000"/>
                <w:sz w:val="22"/>
                <w:szCs w:val="20"/>
                <w:shd w:val="clear" w:color="auto" w:fill="FFFFFF"/>
              </w:rPr>
              <w:t>Об определении даты направления бюллетеней для голосования лицам, имеющим право на участие во внеочередном общем собрании акционеров, определении адреса, по которому могут быть направлены заполненные бюллетени для голосования.</w:t>
            </w:r>
          </w:p>
          <w:p w:rsidR="00276D6B" w:rsidRPr="00276D6B" w:rsidRDefault="00276D6B" w:rsidP="00276D6B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1.</w:t>
            </w: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ab/>
              <w:t>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 не позднее   01.01.2016.</w:t>
            </w:r>
          </w:p>
          <w:p w:rsidR="00276D6B" w:rsidRPr="00276D6B" w:rsidRDefault="00276D6B" w:rsidP="00276D6B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2.</w:t>
            </w: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ab/>
              <w:t xml:space="preserve">Определить, что заполненные бюллетени для голосования могут быть направлены по следующему адресам: </w:t>
            </w:r>
          </w:p>
          <w:p w:rsidR="00276D6B" w:rsidRPr="00276D6B" w:rsidRDefault="00276D6B" w:rsidP="00276D6B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- Российская Федерация, </w:t>
            </w:r>
            <w:proofErr w:type="gramStart"/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197110,  г.</w:t>
            </w:r>
            <w:proofErr w:type="gramEnd"/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Санкт-Петербург, улица Красного Курсанта, 25 литера  Ж, БЦ IT  Парк;</w:t>
            </w:r>
          </w:p>
          <w:p w:rsidR="00276D6B" w:rsidRPr="00276D6B" w:rsidRDefault="00276D6B" w:rsidP="00276D6B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-Российская Федерация,188663,Ленинградская область, Всеволожский район, городской поселок </w:t>
            </w:r>
            <w:proofErr w:type="spellStart"/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Кузьмоловский</w:t>
            </w:r>
            <w:proofErr w:type="spellEnd"/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, станция </w:t>
            </w:r>
            <w:proofErr w:type="spellStart"/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Капитолово</w:t>
            </w:r>
            <w:proofErr w:type="spellEnd"/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, № 134, литер 1.</w:t>
            </w:r>
          </w:p>
          <w:p w:rsidR="00276D6B" w:rsidRDefault="00276D6B" w:rsidP="00276D6B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3.</w:t>
            </w: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ab/>
      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в день  проведения внеочередного общего собрания акционеров.</w:t>
            </w:r>
          </w:p>
          <w:p w:rsidR="00276D6B" w:rsidRDefault="00276D6B" w:rsidP="00276D6B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</w:p>
          <w:p w:rsidR="00276D6B" w:rsidRPr="00276D6B" w:rsidRDefault="00276D6B" w:rsidP="00276D6B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По </w:t>
            </w:r>
            <w: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шестому </w:t>
            </w: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вопросу: </w:t>
            </w:r>
            <w:r w:rsidRPr="00276D6B">
              <w:rPr>
                <w:rStyle w:val="apple-converted-space"/>
                <w:rFonts w:eastAsia="SimSun"/>
                <w:color w:val="000000"/>
                <w:sz w:val="22"/>
                <w:szCs w:val="20"/>
                <w:shd w:val="clear" w:color="auto" w:fill="FFFFFF"/>
              </w:rPr>
              <w:t>Об определении даты направления бюллетеней для голосования лицам, имеющим право на участие во внеочередном общем собрании акционеров, определении адреса, по которому могут быть направлены заполненные бюллетени для голосования.</w:t>
            </w:r>
          </w:p>
          <w:p w:rsidR="00441C11" w:rsidRDefault="00276D6B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Утвердить форму и текст бюллетеней для голосования на внеочередном общем собрании акционеров Общества согласно Приложениям № 2</w:t>
            </w:r>
          </w:p>
          <w:p w:rsidR="00276D6B" w:rsidRDefault="00276D6B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</w:p>
          <w:p w:rsidR="00276D6B" w:rsidRDefault="00276D6B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По </w:t>
            </w:r>
            <w: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седьмому</w:t>
            </w: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вопросу: </w:t>
            </w:r>
            <w:r w:rsidRPr="00276D6B">
              <w:rPr>
                <w:rStyle w:val="apple-converted-space"/>
                <w:rFonts w:eastAsia="SimSun"/>
                <w:color w:val="000000"/>
                <w:sz w:val="22"/>
                <w:szCs w:val="20"/>
                <w:shd w:val="clear" w:color="auto" w:fill="FFFFFF"/>
              </w:rPr>
              <w:t>Об утверждении проекта решений внеочередного общего собрания акционеров</w:t>
            </w: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</w:p>
          <w:p w:rsidR="00276D6B" w:rsidRDefault="00276D6B" w:rsidP="00276D6B">
            <w:pP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Утвердить проект решений внеочередного общего собрани</w:t>
            </w:r>
            <w:r w:rsidR="00E94F59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я</w:t>
            </w:r>
            <w:r w:rsidRPr="00276D6B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акционеров Общества Приложению № 3.</w:t>
            </w:r>
          </w:p>
          <w:p w:rsidR="00E94F59" w:rsidRPr="00276D6B" w:rsidRDefault="00E94F59" w:rsidP="00276D6B">
            <w:pP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</w:p>
          <w:p w:rsidR="00276D6B" w:rsidRDefault="00E94F59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color w:val="000000"/>
                <w:sz w:val="22"/>
                <w:szCs w:val="20"/>
                <w:shd w:val="clear" w:color="auto" w:fill="FFFFFF"/>
              </w:rPr>
            </w:pPr>
            <w:r w:rsidRPr="00E94F59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По </w:t>
            </w:r>
            <w: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девятому</w:t>
            </w:r>
            <w:r w:rsidRPr="00E94F59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вопросу: </w:t>
            </w:r>
            <w:r w:rsidRPr="00E94F59">
              <w:rPr>
                <w:rStyle w:val="apple-converted-space"/>
                <w:rFonts w:eastAsia="SimSun"/>
                <w:color w:val="000000"/>
                <w:sz w:val="22"/>
                <w:szCs w:val="20"/>
                <w:shd w:val="clear" w:color="auto" w:fill="FFFFFF"/>
              </w:rPr>
              <w:t>Об определении цены (денежной оценки) дополнительных акций Общества, размещаемых посредством закрытой подписки.</w:t>
            </w:r>
          </w:p>
          <w:p w:rsidR="00E94F59" w:rsidRPr="00E94F59" w:rsidRDefault="00E94F59" w:rsidP="00E94F59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E94F59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1) Определить цену размещения одной дополнительной обыкновенной именной бездокументарной акции Общества в рамках дополнительного выпуска на основании отчета об оценке № 20151222-3 от 22 декабря 2015 г., подготовленного независимым оценщиком Фильковым Андреем Николаевичем, членом  саморегулируемой организации оценщиков – Ассоциация «Межрегиональный Союз Оценщиков», адрес местонахождения саморегулируемой организации оценщиков: </w:t>
            </w:r>
            <w:proofErr w:type="spellStart"/>
            <w:r w:rsidRPr="00E94F59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г.Ростов</w:t>
            </w:r>
            <w:proofErr w:type="spellEnd"/>
            <w:r w:rsidRPr="00E94F59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-на-Дону, </w:t>
            </w:r>
            <w:proofErr w:type="spellStart"/>
            <w:r w:rsidRPr="00E94F59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ул.Максима</w:t>
            </w:r>
            <w:proofErr w:type="spellEnd"/>
            <w:r w:rsidRPr="00E94F59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Горького, д.245/26, в размере 25 (Двадцать пять) рублей 45 (Сорок пять) копеек.</w:t>
            </w:r>
          </w:p>
          <w:p w:rsidR="00E94F59" w:rsidRDefault="00E94F59" w:rsidP="00E94F59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E94F59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2) Определить цену размещения одной дополнительной обыкновенной именной бездокументарной акции Общества в рамках дополнительного выпуска лицам, имеющим преимущественное право приобретения акций, в размере 25 (Двадцать пять) рублей 45 (Сорок пять) копеек.</w:t>
            </w:r>
          </w:p>
          <w:p w:rsidR="008D46F6" w:rsidRDefault="008D46F6" w:rsidP="00E94F59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</w:p>
          <w:p w:rsidR="00E94F59" w:rsidRPr="00C42124" w:rsidRDefault="00C42124" w:rsidP="00E94F59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color w:val="000000"/>
                <w:sz w:val="22"/>
                <w:szCs w:val="20"/>
                <w:shd w:val="clear" w:color="auto" w:fill="FFFFFF"/>
              </w:rPr>
            </w:pPr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По </w:t>
            </w:r>
            <w: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десятому </w:t>
            </w:r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вопросу:</w:t>
            </w:r>
            <w:r>
              <w:t xml:space="preserve"> </w:t>
            </w:r>
            <w:r w:rsidRPr="00C42124">
              <w:rPr>
                <w:rStyle w:val="apple-converted-space"/>
                <w:rFonts w:eastAsia="SimSun"/>
                <w:color w:val="000000"/>
                <w:sz w:val="22"/>
                <w:szCs w:val="20"/>
                <w:shd w:val="clear" w:color="auto" w:fill="FFFFFF"/>
              </w:rPr>
              <w:t>Об  определении цены имущества в соответствии со статьями 77 и 83 ФЗ «Об акционерных обществах».</w:t>
            </w:r>
          </w:p>
          <w:p w:rsidR="00C42124" w:rsidRPr="00C42124" w:rsidRDefault="00C42124" w:rsidP="00C42124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На основании отчета об оценке № 20151222-1 от 22 декабря 2015 г., подготовленного независимым оценщиком Фильковым Андреем Николаевичем, членом  саморегулируемой организации оценщиков – Ассоциация «Межрегиональный Союз Оценщиков», адрес местонахождения саморегулируемой организации оценщиков: г. Ростов-на-Дону, ул. Максима Горького, д.245/26,</w:t>
            </w:r>
          </w:p>
          <w:p w:rsidR="00C42124" w:rsidRPr="00C42124" w:rsidRDefault="00C42124" w:rsidP="00C42124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Определить для цели заключения договора приобретения Обществом долей Общества с ограниченной ответственностью «</w:t>
            </w:r>
            <w:proofErr w:type="spellStart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СинБио</w:t>
            </w:r>
            <w:proofErr w:type="spellEnd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» у Открытого акционерного общества «РОСНАНО», цену (денежную оценку) 900 000/2 175 397 долей ООО «</w:t>
            </w:r>
            <w:proofErr w:type="spellStart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СинБио</w:t>
            </w:r>
            <w:proofErr w:type="spellEnd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» в размере 1 037 330 000 рублей, </w:t>
            </w:r>
          </w:p>
          <w:p w:rsidR="00E94F59" w:rsidRDefault="00C42124" w:rsidP="00C42124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Определить для цели заключения договора приобретения Обществом у Общества с ограниченной ответственностью «</w:t>
            </w:r>
            <w:proofErr w:type="spellStart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АйсГен</w:t>
            </w:r>
            <w:proofErr w:type="spellEnd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» долей Общества с ограниченной ответственностью «</w:t>
            </w:r>
            <w:proofErr w:type="spellStart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СинБио</w:t>
            </w:r>
            <w:proofErr w:type="spellEnd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» цену (денежную оценку) 1 275 397/2 175 397 долей ООО «</w:t>
            </w:r>
            <w:proofErr w:type="spellStart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СинБио</w:t>
            </w:r>
            <w:proofErr w:type="spellEnd"/>
            <w:r w:rsidRPr="00C42124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» в размере 1 470 008 000 рублей.</w:t>
            </w:r>
          </w:p>
          <w:p w:rsidR="008D46F6" w:rsidRPr="00E94F59" w:rsidRDefault="008D46F6" w:rsidP="00C42124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</w:p>
          <w:p w:rsidR="008D46F6" w:rsidRDefault="008D46F6" w:rsidP="008D46F6">
            <w:pPr>
              <w:tabs>
                <w:tab w:val="left" w:pos="426"/>
              </w:tabs>
              <w:spacing w:line="276" w:lineRule="auto"/>
              <w:ind w:left="142" w:right="141"/>
              <w:jc w:val="both"/>
            </w:pPr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По </w:t>
            </w:r>
            <w: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восемнадцатому </w:t>
            </w:r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вопросу</w:t>
            </w:r>
            <w:r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:</w:t>
            </w:r>
            <w:r>
              <w:t xml:space="preserve"> </w:t>
            </w:r>
            <w:r w:rsidRPr="008D46F6">
              <w:t>Об одобрении отдельных видов сделок в соответствии с требованиями п.14.2.33 Устава Общества.</w:t>
            </w:r>
          </w:p>
          <w:p w:rsidR="008D46F6" w:rsidRPr="008D46F6" w:rsidRDefault="008D46F6" w:rsidP="008D46F6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1. Одобрить сделку, в совершении которой в соответствии со статьёй 83 ФЗ от 26.12.1995, № 208-</w:t>
            </w:r>
            <w:proofErr w:type="gramStart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з  «</w:t>
            </w:r>
            <w:proofErr w:type="gramEnd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Об акционерных обществах» имеется заинтересованность членов Совета директоров ОАО «</w:t>
            </w:r>
            <w:proofErr w:type="spellStart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Фармсинтез</w:t>
            </w:r>
            <w:proofErr w:type="spellEnd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» Генкина Д.Д., </w:t>
            </w:r>
            <w:proofErr w:type="spellStart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Шпичко</w:t>
            </w:r>
            <w:proofErr w:type="spellEnd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О.Ю., Князева Р.С., а именно соглашение о расторжении инвестиционного соглашения от 26 июля 2011 года по реализации инвестиционного проекта № 1767 "СИНБИО: создание в России производства лекарственных препаратов класса </w:t>
            </w:r>
            <w:proofErr w:type="spellStart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BioBetters</w:t>
            </w:r>
            <w:proofErr w:type="spellEnd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на основе </w:t>
            </w:r>
            <w:proofErr w:type="spellStart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биодеградируемых</w:t>
            </w:r>
            <w:proofErr w:type="spellEnd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нанокомпозитных</w:t>
            </w:r>
            <w:proofErr w:type="spellEnd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материалов"</w:t>
            </w:r>
          </w:p>
          <w:p w:rsidR="00E94F59" w:rsidRDefault="008D46F6" w:rsidP="008D46F6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 xml:space="preserve"> 2. Поручить генеральному директору ОАО «</w:t>
            </w:r>
            <w:proofErr w:type="spellStart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Фармсинтез</w:t>
            </w:r>
            <w:proofErr w:type="spellEnd"/>
            <w:r w:rsidRPr="008D46F6"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  <w:t>» подписать соответствующее соглашение.</w:t>
            </w:r>
          </w:p>
          <w:p w:rsidR="008D46F6" w:rsidRDefault="008D46F6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</w:p>
          <w:p w:rsidR="00441C11" w:rsidRPr="00F94F89" w:rsidRDefault="00441C11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441C11">
              <w:rPr>
                <w:b/>
                <w:i/>
                <w:color w:val="000000"/>
                <w:sz w:val="22"/>
                <w:szCs w:val="20"/>
              </w:rPr>
              <w:t>Полная формулировка решений, принятых Советом директоров, будет раскрыта в форме сообщения о существенном факте в сроки не позднее одного дня с даты составления протокола заседания Совета директоров.</w:t>
            </w:r>
          </w:p>
          <w:p w:rsidR="00BA69F9" w:rsidRPr="002410BE" w:rsidRDefault="00BA69F9" w:rsidP="002410BE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2410BE" w:rsidP="00FE7AB0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 Кругляков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lastRenderedPageBreak/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F94F89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F94F89">
              <w:rPr>
                <w:sz w:val="20"/>
                <w:szCs w:val="20"/>
              </w:rPr>
              <w:t>25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CE6EBF" w:rsidP="00A8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B96F36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CE6EBF">
              <w:rPr>
                <w:sz w:val="20"/>
                <w:szCs w:val="20"/>
              </w:rPr>
              <w:t>5</w:t>
            </w:r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 w:rsidSect="00E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F4A"/>
    <w:multiLevelType w:val="hybridMultilevel"/>
    <w:tmpl w:val="CD829BCA"/>
    <w:lvl w:ilvl="0" w:tplc="350E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644A"/>
    <w:multiLevelType w:val="hybridMultilevel"/>
    <w:tmpl w:val="87A6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D243111"/>
    <w:multiLevelType w:val="multilevel"/>
    <w:tmpl w:val="F91E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8" w15:restartNumberingAfterBreak="0">
    <w:nsid w:val="30C6566E"/>
    <w:multiLevelType w:val="hybridMultilevel"/>
    <w:tmpl w:val="23DADC1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D74C2"/>
    <w:multiLevelType w:val="multilevel"/>
    <w:tmpl w:val="20DCE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42B7F"/>
    <w:multiLevelType w:val="hybridMultilevel"/>
    <w:tmpl w:val="EE90B31C"/>
    <w:lvl w:ilvl="0" w:tplc="5A82BC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7707C2"/>
    <w:multiLevelType w:val="hybridMultilevel"/>
    <w:tmpl w:val="C15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0441D"/>
    <w:multiLevelType w:val="hybridMultilevel"/>
    <w:tmpl w:val="8DF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7" w15:restartNumberingAfterBreak="0">
    <w:nsid w:val="732F325A"/>
    <w:multiLevelType w:val="hybridMultilevel"/>
    <w:tmpl w:val="D1BE0A70"/>
    <w:lvl w:ilvl="0" w:tplc="EA60E5A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783A294F"/>
    <w:multiLevelType w:val="hybridMultilevel"/>
    <w:tmpl w:val="644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12"/>
  </w:num>
  <w:num w:numId="10">
    <w:abstractNumId w:val="20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3CBF"/>
    <w:rsid w:val="00085AE0"/>
    <w:rsid w:val="00091F40"/>
    <w:rsid w:val="000B4C85"/>
    <w:rsid w:val="000B51E7"/>
    <w:rsid w:val="000C1A0D"/>
    <w:rsid w:val="000C3A2A"/>
    <w:rsid w:val="000C4BA7"/>
    <w:rsid w:val="000D0AE5"/>
    <w:rsid w:val="000D15B0"/>
    <w:rsid w:val="000D2ED1"/>
    <w:rsid w:val="000D56F7"/>
    <w:rsid w:val="000E5960"/>
    <w:rsid w:val="000F045B"/>
    <w:rsid w:val="000F724C"/>
    <w:rsid w:val="00124F84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83F78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D1F75"/>
    <w:rsid w:val="001D4C52"/>
    <w:rsid w:val="001D76C4"/>
    <w:rsid w:val="001E6C30"/>
    <w:rsid w:val="001F2300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10BE"/>
    <w:rsid w:val="002450F9"/>
    <w:rsid w:val="002465D6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2F77"/>
    <w:rsid w:val="00273BBE"/>
    <w:rsid w:val="00276D6B"/>
    <w:rsid w:val="00286871"/>
    <w:rsid w:val="00287005"/>
    <w:rsid w:val="0029053E"/>
    <w:rsid w:val="002933E6"/>
    <w:rsid w:val="00294D5F"/>
    <w:rsid w:val="00295142"/>
    <w:rsid w:val="002952FC"/>
    <w:rsid w:val="002965A2"/>
    <w:rsid w:val="002A3D48"/>
    <w:rsid w:val="002A519C"/>
    <w:rsid w:val="002B4427"/>
    <w:rsid w:val="002C090B"/>
    <w:rsid w:val="002C204A"/>
    <w:rsid w:val="002C4743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A7B63"/>
    <w:rsid w:val="003B25A5"/>
    <w:rsid w:val="003C5C95"/>
    <w:rsid w:val="003D04B0"/>
    <w:rsid w:val="003D1381"/>
    <w:rsid w:val="003D63D0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41C11"/>
    <w:rsid w:val="00442BDE"/>
    <w:rsid w:val="0045397E"/>
    <w:rsid w:val="004540E6"/>
    <w:rsid w:val="00471B06"/>
    <w:rsid w:val="00473CB4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267D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B3BC3"/>
    <w:rsid w:val="005C0FA5"/>
    <w:rsid w:val="005C5611"/>
    <w:rsid w:val="005C6004"/>
    <w:rsid w:val="005D5BF6"/>
    <w:rsid w:val="005F1D89"/>
    <w:rsid w:val="005F5E31"/>
    <w:rsid w:val="006028DF"/>
    <w:rsid w:val="006124F2"/>
    <w:rsid w:val="00612881"/>
    <w:rsid w:val="00612BA1"/>
    <w:rsid w:val="00622AAE"/>
    <w:rsid w:val="0062436F"/>
    <w:rsid w:val="00630281"/>
    <w:rsid w:val="006322D8"/>
    <w:rsid w:val="00635C8A"/>
    <w:rsid w:val="00642527"/>
    <w:rsid w:val="0064649B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3FE3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133"/>
    <w:rsid w:val="006E7566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BBC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5033"/>
    <w:rsid w:val="00807CAD"/>
    <w:rsid w:val="008157A9"/>
    <w:rsid w:val="008207DC"/>
    <w:rsid w:val="00822018"/>
    <w:rsid w:val="008231C3"/>
    <w:rsid w:val="00823E2A"/>
    <w:rsid w:val="00825AF2"/>
    <w:rsid w:val="008339A3"/>
    <w:rsid w:val="00834777"/>
    <w:rsid w:val="00834A15"/>
    <w:rsid w:val="008422C5"/>
    <w:rsid w:val="00844702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46F6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97F81"/>
    <w:rsid w:val="009A31EF"/>
    <w:rsid w:val="009B3D46"/>
    <w:rsid w:val="009B5881"/>
    <w:rsid w:val="009B5D98"/>
    <w:rsid w:val="009B63FB"/>
    <w:rsid w:val="009B7D38"/>
    <w:rsid w:val="009C76A3"/>
    <w:rsid w:val="009D24A4"/>
    <w:rsid w:val="009D53B2"/>
    <w:rsid w:val="009E049B"/>
    <w:rsid w:val="009E4DA6"/>
    <w:rsid w:val="009E55C6"/>
    <w:rsid w:val="009F4541"/>
    <w:rsid w:val="009F6BCA"/>
    <w:rsid w:val="00A02C6A"/>
    <w:rsid w:val="00A0390C"/>
    <w:rsid w:val="00A0397C"/>
    <w:rsid w:val="00A03D9C"/>
    <w:rsid w:val="00A148D8"/>
    <w:rsid w:val="00A23EBF"/>
    <w:rsid w:val="00A261D7"/>
    <w:rsid w:val="00A30F0A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81211"/>
    <w:rsid w:val="00A81493"/>
    <w:rsid w:val="00A8256D"/>
    <w:rsid w:val="00A8401C"/>
    <w:rsid w:val="00A85A94"/>
    <w:rsid w:val="00A85F31"/>
    <w:rsid w:val="00A97CD1"/>
    <w:rsid w:val="00AA5AD8"/>
    <w:rsid w:val="00AB0188"/>
    <w:rsid w:val="00AB4F12"/>
    <w:rsid w:val="00AE4ABD"/>
    <w:rsid w:val="00AE6075"/>
    <w:rsid w:val="00AF2F34"/>
    <w:rsid w:val="00AF54C5"/>
    <w:rsid w:val="00B01CFA"/>
    <w:rsid w:val="00B0321F"/>
    <w:rsid w:val="00B06F86"/>
    <w:rsid w:val="00B11283"/>
    <w:rsid w:val="00B11B4F"/>
    <w:rsid w:val="00B12EBB"/>
    <w:rsid w:val="00B17B0B"/>
    <w:rsid w:val="00B22A79"/>
    <w:rsid w:val="00B306C4"/>
    <w:rsid w:val="00B36092"/>
    <w:rsid w:val="00B461F0"/>
    <w:rsid w:val="00B467C6"/>
    <w:rsid w:val="00B52142"/>
    <w:rsid w:val="00B54FA5"/>
    <w:rsid w:val="00B570BE"/>
    <w:rsid w:val="00B61E68"/>
    <w:rsid w:val="00B63DDF"/>
    <w:rsid w:val="00B7103B"/>
    <w:rsid w:val="00B71F8F"/>
    <w:rsid w:val="00B76CCE"/>
    <w:rsid w:val="00B80DB2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A69F9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2124"/>
    <w:rsid w:val="00C43823"/>
    <w:rsid w:val="00C4549C"/>
    <w:rsid w:val="00C45B89"/>
    <w:rsid w:val="00C47B8C"/>
    <w:rsid w:val="00C503A5"/>
    <w:rsid w:val="00C543D8"/>
    <w:rsid w:val="00C6000D"/>
    <w:rsid w:val="00C64F73"/>
    <w:rsid w:val="00C71A40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E6EBF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24D7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A90"/>
    <w:rsid w:val="00E12508"/>
    <w:rsid w:val="00E146AD"/>
    <w:rsid w:val="00E25556"/>
    <w:rsid w:val="00E25EC1"/>
    <w:rsid w:val="00E26C9E"/>
    <w:rsid w:val="00E270FA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2D46"/>
    <w:rsid w:val="00E85CC9"/>
    <w:rsid w:val="00E94F5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C719E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55F86"/>
    <w:rsid w:val="00F60235"/>
    <w:rsid w:val="00F65CE8"/>
    <w:rsid w:val="00F66EF8"/>
    <w:rsid w:val="00F67CFA"/>
    <w:rsid w:val="00F70635"/>
    <w:rsid w:val="00F83DC5"/>
    <w:rsid w:val="00F919B3"/>
    <w:rsid w:val="00F93080"/>
    <w:rsid w:val="00F94F89"/>
    <w:rsid w:val="00FA0D6F"/>
    <w:rsid w:val="00FB75BC"/>
    <w:rsid w:val="00FC0A65"/>
    <w:rsid w:val="00FC5587"/>
    <w:rsid w:val="00FD4CC1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1BC7E-BC5A-4004-914B-9A81FF2D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1">
    <w:name w:val="Абзац списка1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a3">
    <w:name w:val="List Paragraph"/>
    <w:basedOn w:val="a"/>
    <w:uiPriority w:val="34"/>
    <w:qFormat/>
    <w:rsid w:val="00A0397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793B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3BBC"/>
    <w:rPr>
      <w:rFonts w:eastAsia="Calibri"/>
      <w:sz w:val="16"/>
      <w:szCs w:val="16"/>
    </w:rPr>
  </w:style>
  <w:style w:type="paragraph" w:styleId="21">
    <w:name w:val="Body Text Indent 2"/>
    <w:basedOn w:val="a"/>
    <w:link w:val="22"/>
    <w:uiPriority w:val="99"/>
    <w:rsid w:val="00793BB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BBC"/>
  </w:style>
  <w:style w:type="paragraph" w:customStyle="1" w:styleId="ConsPlusNormal">
    <w:name w:val="ConsPlusNormal"/>
    <w:uiPriority w:val="99"/>
    <w:rsid w:val="006B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F5E31"/>
  </w:style>
  <w:style w:type="paragraph" w:styleId="a4">
    <w:name w:val="Balloon Text"/>
    <w:basedOn w:val="a"/>
    <w:link w:val="a5"/>
    <w:uiPriority w:val="99"/>
    <w:rsid w:val="00F6023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60235"/>
    <w:rPr>
      <w:rFonts w:ascii="Tahoma" w:eastAsia="Calibri" w:hAnsi="Tahoma"/>
      <w:sz w:val="16"/>
      <w:szCs w:val="16"/>
    </w:rPr>
  </w:style>
  <w:style w:type="character" w:styleId="a6">
    <w:name w:val="Hyperlink"/>
    <w:rsid w:val="00F6023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60235"/>
    <w:pPr>
      <w:spacing w:after="120"/>
    </w:pPr>
  </w:style>
  <w:style w:type="character" w:customStyle="1" w:styleId="a8">
    <w:name w:val="Основной текст Знак"/>
    <w:basedOn w:val="a0"/>
    <w:link w:val="a7"/>
    <w:rsid w:val="00F60235"/>
    <w:rPr>
      <w:sz w:val="24"/>
      <w:szCs w:val="24"/>
    </w:rPr>
  </w:style>
  <w:style w:type="character" w:customStyle="1" w:styleId="apple-converted-space">
    <w:name w:val="apple-converted-space"/>
    <w:basedOn w:val="a0"/>
    <w:rsid w:val="0024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Варенцова Екатерина</dc:creator>
  <cp:lastModifiedBy>Alexandr Akimov</cp:lastModifiedBy>
  <cp:revision>2</cp:revision>
  <cp:lastPrinted>2014-09-18T05:21:00Z</cp:lastPrinted>
  <dcterms:created xsi:type="dcterms:W3CDTF">2015-12-26T10:02:00Z</dcterms:created>
  <dcterms:modified xsi:type="dcterms:W3CDTF">2015-12-26T10:02:00Z</dcterms:modified>
</cp:coreProperties>
</file>